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b w:val="1"/>
          <w:bCs w:val="1"/>
          <w:color w:val="auto"/>
        </w:rPr>
        <w:t>As filed with the U.S. Securities and Exchange Commission on October 26, 2021.</w:t>
      </w:r>
    </w:p>
    <w:p>
      <w:pPr>
        <w:spacing w:after="0" w:line="17"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333-260134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52070</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69"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AMENDMENT NO. 2</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TO</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FORM S-1</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REGISTRATION STATEMENT</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52070</wp:posOffset>
            </wp:positionV>
            <wp:extent cx="1311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69"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NERDWALLET,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56515</wp:posOffset>
            </wp:positionV>
            <wp:extent cx="1311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68" w:lineRule="exact"/>
        <w:rPr>
          <w:sz w:val="24"/>
          <w:szCs w:val="24"/>
          <w:color w:val="auto"/>
        </w:rPr>
      </w:pPr>
    </w:p>
    <w:tbl>
      <w:tblPr>
        <w:tblLayout w:type="fixed"/>
        <w:tblInd w:w="900" w:type="dxa"/>
        <w:tblCellMar>
          <w:top w:w="0" w:type="dxa"/>
          <w:left w:w="0" w:type="dxa"/>
          <w:bottom w:w="0" w:type="dxa"/>
          <w:right w:w="0" w:type="dxa"/>
        </w:tblCellMar>
      </w:tblPr>
      <w:tr>
        <w:trPr>
          <w:trHeight w:val="186"/>
        </w:trPr>
        <w:tc>
          <w:tcPr>
            <w:tcW w:w="3700" w:type="dxa"/>
            <w:vAlign w:val="bottom"/>
          </w:tcPr>
          <w:p>
            <w:pPr>
              <w:jc w:val="center"/>
              <w:ind w:right="1728"/>
              <w:spacing w:after="0"/>
              <w:rPr>
                <w:sz w:val="20"/>
                <w:szCs w:val="20"/>
                <w:color w:val="auto"/>
              </w:rPr>
            </w:pPr>
            <w:r>
              <w:rPr>
                <w:rFonts w:ascii="Arial" w:cs="Arial" w:eastAsia="Arial" w:hAnsi="Arial"/>
                <w:sz w:val="14"/>
                <w:szCs w:val="14"/>
                <w:b w:val="1"/>
                <w:bCs w:val="1"/>
                <w:color w:val="auto"/>
                <w:w w:val="94"/>
              </w:rPr>
              <w:t>Delaware</w:t>
            </w:r>
          </w:p>
        </w:tc>
        <w:tc>
          <w:tcPr>
            <w:tcW w:w="180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7375</w:t>
            </w:r>
          </w:p>
        </w:tc>
        <w:tc>
          <w:tcPr>
            <w:tcW w:w="260" w:type="dxa"/>
            <w:vAlign w:val="bottom"/>
          </w:tcPr>
          <w:p>
            <w:pPr>
              <w:spacing w:after="0"/>
              <w:rPr>
                <w:sz w:val="16"/>
                <w:szCs w:val="16"/>
                <w:color w:val="auto"/>
              </w:rPr>
            </w:pPr>
          </w:p>
        </w:tc>
        <w:tc>
          <w:tcPr>
            <w:tcW w:w="3460" w:type="dxa"/>
            <w:vAlign w:val="bottom"/>
          </w:tcPr>
          <w:p>
            <w:pPr>
              <w:jc w:val="right"/>
              <w:ind w:right="328"/>
              <w:spacing w:after="0"/>
              <w:rPr>
                <w:sz w:val="20"/>
                <w:szCs w:val="20"/>
                <w:color w:val="auto"/>
              </w:rPr>
            </w:pPr>
            <w:r>
              <w:rPr>
                <w:rFonts w:ascii="Arial" w:cs="Arial" w:eastAsia="Arial" w:hAnsi="Arial"/>
                <w:sz w:val="14"/>
                <w:szCs w:val="14"/>
                <w:b w:val="1"/>
                <w:bCs w:val="1"/>
                <w:color w:val="auto"/>
              </w:rPr>
              <w:t>45-4180440</w:t>
            </w:r>
          </w:p>
        </w:tc>
      </w:tr>
      <w:tr>
        <w:trPr>
          <w:trHeight w:val="192"/>
        </w:trPr>
        <w:tc>
          <w:tcPr>
            <w:tcW w:w="3700" w:type="dxa"/>
            <w:vAlign w:val="bottom"/>
          </w:tcPr>
          <w:p>
            <w:pPr>
              <w:jc w:val="center"/>
              <w:ind w:right="1748"/>
              <w:spacing w:after="0"/>
              <w:rPr>
                <w:sz w:val="20"/>
                <w:szCs w:val="20"/>
                <w:color w:val="auto"/>
              </w:rPr>
            </w:pPr>
            <w:r>
              <w:rPr>
                <w:rFonts w:ascii="Arial" w:cs="Arial" w:eastAsia="Arial" w:hAnsi="Arial"/>
                <w:sz w:val="14"/>
                <w:szCs w:val="14"/>
                <w:b w:val="1"/>
                <w:bCs w:val="1"/>
                <w:color w:val="auto"/>
                <w:w w:val="93"/>
              </w:rPr>
              <w:t>(State or other jurisdiction of</w:t>
            </w:r>
          </w:p>
        </w:tc>
        <w:tc>
          <w:tcPr>
            <w:tcW w:w="2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(Primary Standard Industrial</w:t>
            </w:r>
          </w:p>
        </w:tc>
        <w:tc>
          <w:tcPr>
            <w:tcW w:w="3460" w:type="dxa"/>
            <w:vAlign w:val="bottom"/>
          </w:tcPr>
          <w:p>
            <w:pPr>
              <w:jc w:val="center"/>
              <w:ind w:left="1888"/>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3700" w:type="dxa"/>
            <w:vAlign w:val="bottom"/>
          </w:tcPr>
          <w:p>
            <w:pPr>
              <w:jc w:val="center"/>
              <w:ind w:right="1748"/>
              <w:spacing w:after="0"/>
              <w:rPr>
                <w:sz w:val="20"/>
                <w:szCs w:val="20"/>
                <w:color w:val="auto"/>
              </w:rPr>
            </w:pPr>
            <w:r>
              <w:rPr>
                <w:rFonts w:ascii="Arial" w:cs="Arial" w:eastAsia="Arial" w:hAnsi="Arial"/>
                <w:sz w:val="14"/>
                <w:szCs w:val="14"/>
                <w:b w:val="1"/>
                <w:bCs w:val="1"/>
                <w:color w:val="auto"/>
                <w:w w:val="94"/>
              </w:rPr>
              <w:t>incorporation or organization)</w:t>
            </w: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Classification Code Number)</w:t>
            </w:r>
          </w:p>
        </w:tc>
        <w:tc>
          <w:tcPr>
            <w:tcW w:w="3460" w:type="dxa"/>
            <w:vAlign w:val="bottom"/>
          </w:tcPr>
          <w:p>
            <w:pPr>
              <w:jc w:val="center"/>
              <w:ind w:left="1888"/>
              <w:spacing w:after="0"/>
              <w:rPr>
                <w:sz w:val="20"/>
                <w:szCs w:val="20"/>
                <w:color w:val="auto"/>
              </w:rPr>
            </w:pPr>
            <w:r>
              <w:rPr>
                <w:rFonts w:ascii="Arial" w:cs="Arial" w:eastAsia="Arial" w:hAnsi="Arial"/>
                <w:sz w:val="14"/>
                <w:szCs w:val="14"/>
                <w:b w:val="1"/>
                <w:bCs w:val="1"/>
                <w:color w:val="auto"/>
                <w:w w:val="95"/>
              </w:rPr>
              <w:t>Identification Number)</w:t>
            </w:r>
          </w:p>
        </w:tc>
      </w:tr>
      <w:tr>
        <w:trPr>
          <w:trHeight w:val="381"/>
        </w:trPr>
        <w:tc>
          <w:tcPr>
            <w:tcW w:w="3700" w:type="dxa"/>
            <w:vAlign w:val="bottom"/>
          </w:tcPr>
          <w:p>
            <w:pPr>
              <w:spacing w:after="0"/>
              <w:rPr>
                <w:sz w:val="24"/>
                <w:szCs w:val="24"/>
                <w:color w:val="auto"/>
              </w:rPr>
            </w:pPr>
          </w:p>
        </w:tc>
        <w:tc>
          <w:tcPr>
            <w:tcW w:w="2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875 Stevenson St., 5th Floor</w:t>
            </w:r>
          </w:p>
        </w:tc>
        <w:tc>
          <w:tcPr>
            <w:tcW w:w="3460" w:type="dxa"/>
            <w:vAlign w:val="bottom"/>
          </w:tcPr>
          <w:p>
            <w:pPr>
              <w:spacing w:after="0"/>
              <w:rPr>
                <w:sz w:val="24"/>
                <w:szCs w:val="24"/>
                <w:color w:val="auto"/>
              </w:rPr>
            </w:pPr>
          </w:p>
        </w:tc>
      </w:tr>
      <w:tr>
        <w:trPr>
          <w:trHeight w:val="162"/>
        </w:trPr>
        <w:tc>
          <w:tcPr>
            <w:tcW w:w="3700" w:type="dxa"/>
            <w:vAlign w:val="bottom"/>
          </w:tcPr>
          <w:p>
            <w:pPr>
              <w:spacing w:after="0"/>
              <w:rPr>
                <w:sz w:val="14"/>
                <w:szCs w:val="1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San Francisco, CA 94103</w:t>
            </w:r>
          </w:p>
        </w:tc>
        <w:tc>
          <w:tcPr>
            <w:tcW w:w="346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180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3"/>
              </w:rPr>
              <w:t>(415) 549-8913</w:t>
            </w:r>
          </w:p>
        </w:tc>
        <w:tc>
          <w:tcPr>
            <w:tcW w:w="2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230"/>
        </w:trPr>
        <w:tc>
          <w:tcPr>
            <w:tcW w:w="9220" w:type="dxa"/>
            <w:vAlign w:val="bottom"/>
            <w:gridSpan w:val="5"/>
          </w:tcPr>
          <w:p>
            <w:pPr>
              <w:jc w:val="center"/>
              <w:ind w:left="168"/>
              <w:spacing w:after="0"/>
              <w:rPr>
                <w:sz w:val="20"/>
                <w:szCs w:val="20"/>
                <w:color w:val="auto"/>
              </w:rPr>
            </w:pPr>
            <w:r>
              <w:rPr>
                <w:rFonts w:ascii="Arial" w:cs="Arial" w:eastAsia="Arial" w:hAnsi="Arial"/>
                <w:sz w:val="14"/>
                <w:szCs w:val="14"/>
                <w:b w:val="1"/>
                <w:bCs w:val="1"/>
                <w:color w:val="auto"/>
                <w:w w:val="91"/>
              </w:rPr>
              <w:t>(Address, including zip code, and telephone number, including area code, of Registrant’s principal executive offices</w:t>
            </w:r>
            <w:r>
              <w:rPr>
                <w:rFonts w:ascii="Arial" w:cs="Arial" w:eastAsia="Arial" w:hAnsi="Arial"/>
                <w:sz w:val="17"/>
                <w:szCs w:val="17"/>
                <w:color w:val="auto"/>
                <w:w w:val="91"/>
              </w:rPr>
              <w:t>)</w:t>
            </w:r>
          </w:p>
        </w:tc>
      </w:tr>
      <w:tr>
        <w:trPr>
          <w:trHeight w:val="81"/>
        </w:trPr>
        <w:tc>
          <w:tcPr>
            <w:tcW w:w="3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460" w:type="dxa"/>
            <w:vAlign w:val="bottom"/>
          </w:tcPr>
          <w:p>
            <w:pPr>
              <w:spacing w:after="0"/>
              <w:rPr>
                <w:sz w:val="7"/>
                <w:szCs w:val="7"/>
                <w:color w:val="auto"/>
              </w:rPr>
            </w:pPr>
          </w:p>
        </w:tc>
      </w:tr>
      <w:tr>
        <w:trPr>
          <w:trHeight w:val="227"/>
        </w:trPr>
        <w:tc>
          <w:tcPr>
            <w:tcW w:w="3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Tim Chen</w:t>
            </w:r>
          </w:p>
        </w:tc>
        <w:tc>
          <w:tcPr>
            <w:tcW w:w="3460" w:type="dxa"/>
            <w:vAlign w:val="bottom"/>
          </w:tcPr>
          <w:p>
            <w:pPr>
              <w:spacing w:after="0"/>
              <w:rPr>
                <w:sz w:val="19"/>
                <w:szCs w:val="19"/>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Chief Executive Officer</w:t>
            </w:r>
          </w:p>
        </w:tc>
        <w:tc>
          <w:tcPr>
            <w:tcW w:w="346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NerdWallet, Inc.</w:t>
            </w:r>
          </w:p>
        </w:tc>
        <w:tc>
          <w:tcPr>
            <w:tcW w:w="346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875 Stevenson St., 5th Floor</w:t>
            </w:r>
          </w:p>
        </w:tc>
        <w:tc>
          <w:tcPr>
            <w:tcW w:w="346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San Francisco, CA 94103</w:t>
            </w:r>
          </w:p>
        </w:tc>
        <w:tc>
          <w:tcPr>
            <w:tcW w:w="346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180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3"/>
              </w:rPr>
              <w:t>(415) 549-8913</w:t>
            </w:r>
          </w:p>
        </w:tc>
        <w:tc>
          <w:tcPr>
            <w:tcW w:w="26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186"/>
        </w:trPr>
        <w:tc>
          <w:tcPr>
            <w:tcW w:w="9220" w:type="dxa"/>
            <w:vAlign w:val="bottom"/>
            <w:gridSpan w:val="5"/>
          </w:tcPr>
          <w:p>
            <w:pPr>
              <w:jc w:val="center"/>
              <w:ind w:left="148"/>
              <w:spacing w:after="0"/>
              <w:rPr>
                <w:sz w:val="20"/>
                <w:szCs w:val="20"/>
                <w:color w:val="auto"/>
              </w:rPr>
            </w:pPr>
            <w:r>
              <w:rPr>
                <w:rFonts w:ascii="Arial" w:cs="Arial" w:eastAsia="Arial" w:hAnsi="Arial"/>
                <w:sz w:val="14"/>
                <w:szCs w:val="14"/>
                <w:b w:val="1"/>
                <w:bCs w:val="1"/>
                <w:color w:val="auto"/>
                <w:w w:val="90"/>
              </w:rPr>
              <w:t>(Name, address, including zip code, and telephone number, including area code, of agent for service)</w:t>
            </w:r>
          </w:p>
        </w:tc>
      </w:tr>
      <w:tr>
        <w:trPr>
          <w:trHeight w:val="80"/>
        </w:trPr>
        <w:tc>
          <w:tcPr>
            <w:tcW w:w="37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gridSpan w:val="2"/>
          </w:tcPr>
          <w:p>
            <w:pPr>
              <w:spacing w:after="0"/>
              <w:rPr>
                <w:sz w:val="6"/>
                <w:szCs w:val="6"/>
                <w:color w:val="auto"/>
              </w:rPr>
            </w:pPr>
          </w:p>
        </w:tc>
        <w:tc>
          <w:tcPr>
            <w:tcW w:w="3460" w:type="dxa"/>
            <w:vAlign w:val="bottom"/>
          </w:tcPr>
          <w:p>
            <w:pPr>
              <w:spacing w:after="0"/>
              <w:rPr>
                <w:sz w:val="6"/>
                <w:szCs w:val="6"/>
                <w:color w:val="auto"/>
              </w:rPr>
            </w:pPr>
          </w:p>
        </w:tc>
      </w:tr>
      <w:tr>
        <w:trPr>
          <w:trHeight w:val="211"/>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5"/>
              </w:rPr>
              <w:t>Copies to:</w:t>
            </w:r>
          </w:p>
        </w:tc>
        <w:tc>
          <w:tcPr>
            <w:tcW w:w="3460" w:type="dxa"/>
            <w:vAlign w:val="bottom"/>
          </w:tcPr>
          <w:p>
            <w:pPr>
              <w:spacing w:after="0"/>
              <w:rPr>
                <w:sz w:val="18"/>
                <w:szCs w:val="18"/>
                <w:color w:val="auto"/>
              </w:rPr>
            </w:pPr>
          </w:p>
        </w:tc>
      </w:tr>
      <w:tr>
        <w:trPr>
          <w:trHeight w:val="215"/>
        </w:trPr>
        <w:tc>
          <w:tcPr>
            <w:tcW w:w="3700" w:type="dxa"/>
            <w:vAlign w:val="bottom"/>
          </w:tcPr>
          <w:p>
            <w:pPr>
              <w:jc w:val="center"/>
              <w:ind w:right="1728"/>
              <w:spacing w:after="0"/>
              <w:rPr>
                <w:sz w:val="20"/>
                <w:szCs w:val="20"/>
                <w:color w:val="auto"/>
              </w:rPr>
            </w:pPr>
            <w:r>
              <w:rPr>
                <w:rFonts w:ascii="Arial" w:cs="Arial" w:eastAsia="Arial" w:hAnsi="Arial"/>
                <w:sz w:val="14"/>
                <w:szCs w:val="14"/>
                <w:b w:val="1"/>
                <w:bCs w:val="1"/>
                <w:color w:val="auto"/>
                <w:w w:val="88"/>
              </w:rPr>
              <w:t>John Sellers</w:t>
            </w:r>
          </w:p>
        </w:tc>
        <w:tc>
          <w:tcPr>
            <w:tcW w:w="26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Ekumene Lysonge</w:t>
            </w:r>
          </w:p>
        </w:tc>
        <w:tc>
          <w:tcPr>
            <w:tcW w:w="3460" w:type="dxa"/>
            <w:vAlign w:val="bottom"/>
          </w:tcPr>
          <w:p>
            <w:pPr>
              <w:jc w:val="center"/>
              <w:ind w:left="1888"/>
              <w:spacing w:after="0"/>
              <w:rPr>
                <w:sz w:val="20"/>
                <w:szCs w:val="20"/>
                <w:color w:val="auto"/>
              </w:rPr>
            </w:pPr>
            <w:r>
              <w:rPr>
                <w:rFonts w:ascii="Arial" w:cs="Arial" w:eastAsia="Arial" w:hAnsi="Arial"/>
                <w:sz w:val="14"/>
                <w:szCs w:val="14"/>
                <w:b w:val="1"/>
                <w:bCs w:val="1"/>
                <w:color w:val="auto"/>
                <w:w w:val="95"/>
              </w:rPr>
              <w:t>Richard Kline</w:t>
            </w:r>
          </w:p>
        </w:tc>
      </w:tr>
      <w:tr>
        <w:trPr>
          <w:trHeight w:val="135"/>
        </w:trPr>
        <w:tc>
          <w:tcPr>
            <w:tcW w:w="3700" w:type="dxa"/>
            <w:vAlign w:val="bottom"/>
          </w:tcPr>
          <w:p>
            <w:pPr>
              <w:jc w:val="center"/>
              <w:ind w:right="1748"/>
              <w:spacing w:after="0" w:line="135" w:lineRule="exact"/>
              <w:rPr>
                <w:sz w:val="20"/>
                <w:szCs w:val="20"/>
                <w:color w:val="auto"/>
              </w:rPr>
            </w:pPr>
            <w:r>
              <w:rPr>
                <w:rFonts w:ascii="Arial" w:cs="Arial" w:eastAsia="Arial" w:hAnsi="Arial"/>
                <w:sz w:val="14"/>
                <w:szCs w:val="14"/>
                <w:b w:val="1"/>
                <w:bCs w:val="1"/>
                <w:color w:val="auto"/>
                <w:w w:val="91"/>
              </w:rPr>
              <w:t>David Peinsipp</w:t>
            </w:r>
          </w:p>
        </w:tc>
        <w:tc>
          <w:tcPr>
            <w:tcW w:w="260" w:type="dxa"/>
            <w:vAlign w:val="bottom"/>
          </w:tcPr>
          <w:p>
            <w:pPr>
              <w:spacing w:after="0"/>
              <w:rPr>
                <w:sz w:val="11"/>
                <w:szCs w:val="11"/>
                <w:color w:val="auto"/>
              </w:rPr>
            </w:pPr>
          </w:p>
        </w:tc>
        <w:tc>
          <w:tcPr>
            <w:tcW w:w="18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Aby Castro</w:t>
            </w:r>
          </w:p>
        </w:tc>
        <w:tc>
          <w:tcPr>
            <w:tcW w:w="3460" w:type="dxa"/>
            <w:vAlign w:val="bottom"/>
          </w:tcPr>
          <w:p>
            <w:pPr>
              <w:jc w:val="center"/>
              <w:ind w:left="1888"/>
              <w:spacing w:after="0" w:line="135" w:lineRule="exact"/>
              <w:rPr>
                <w:sz w:val="20"/>
                <w:szCs w:val="20"/>
                <w:color w:val="auto"/>
              </w:rPr>
            </w:pPr>
            <w:r>
              <w:rPr>
                <w:rFonts w:ascii="Arial" w:cs="Arial" w:eastAsia="Arial" w:hAnsi="Arial"/>
                <w:sz w:val="14"/>
                <w:szCs w:val="14"/>
                <w:b w:val="1"/>
                <w:bCs w:val="1"/>
                <w:color w:val="auto"/>
                <w:w w:val="96"/>
              </w:rPr>
              <w:t>Sarah Axtell</w:t>
            </w:r>
          </w:p>
        </w:tc>
      </w:tr>
      <w:tr>
        <w:trPr>
          <w:trHeight w:val="135"/>
        </w:trPr>
        <w:tc>
          <w:tcPr>
            <w:tcW w:w="3700" w:type="dxa"/>
            <w:vAlign w:val="bottom"/>
          </w:tcPr>
          <w:p>
            <w:pPr>
              <w:jc w:val="center"/>
              <w:ind w:right="1728"/>
              <w:spacing w:after="0" w:line="135" w:lineRule="exact"/>
              <w:rPr>
                <w:sz w:val="20"/>
                <w:szCs w:val="20"/>
                <w:color w:val="auto"/>
              </w:rPr>
            </w:pPr>
            <w:r>
              <w:rPr>
                <w:rFonts w:ascii="Arial" w:cs="Arial" w:eastAsia="Arial" w:hAnsi="Arial"/>
                <w:sz w:val="14"/>
                <w:szCs w:val="14"/>
                <w:b w:val="1"/>
                <w:bCs w:val="1"/>
                <w:color w:val="auto"/>
                <w:w w:val="93"/>
              </w:rPr>
              <w:t>Nicole Orders</w:t>
            </w:r>
          </w:p>
        </w:tc>
        <w:tc>
          <w:tcPr>
            <w:tcW w:w="206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Office of the General Counsel</w:t>
            </w:r>
          </w:p>
        </w:tc>
        <w:tc>
          <w:tcPr>
            <w:tcW w:w="3460" w:type="dxa"/>
            <w:vAlign w:val="bottom"/>
          </w:tcPr>
          <w:p>
            <w:pPr>
              <w:jc w:val="center"/>
              <w:ind w:left="1888"/>
              <w:spacing w:after="0" w:line="135" w:lineRule="exact"/>
              <w:rPr>
                <w:sz w:val="20"/>
                <w:szCs w:val="20"/>
                <w:color w:val="auto"/>
              </w:rPr>
            </w:pPr>
            <w:r>
              <w:rPr>
                <w:rFonts w:ascii="Arial" w:cs="Arial" w:eastAsia="Arial" w:hAnsi="Arial"/>
                <w:sz w:val="14"/>
                <w:szCs w:val="14"/>
                <w:b w:val="1"/>
                <w:bCs w:val="1"/>
                <w:color w:val="auto"/>
                <w:w w:val="98"/>
              </w:rPr>
              <w:t>Latham &amp; Watkins LLP</w:t>
            </w:r>
          </w:p>
        </w:tc>
      </w:tr>
      <w:tr>
        <w:trPr>
          <w:trHeight w:val="135"/>
        </w:trPr>
        <w:tc>
          <w:tcPr>
            <w:tcW w:w="3700" w:type="dxa"/>
            <w:vAlign w:val="bottom"/>
          </w:tcPr>
          <w:p>
            <w:pPr>
              <w:jc w:val="center"/>
              <w:ind w:right="1728"/>
              <w:spacing w:after="0" w:line="135" w:lineRule="exact"/>
              <w:rPr>
                <w:sz w:val="20"/>
                <w:szCs w:val="20"/>
                <w:color w:val="auto"/>
              </w:rPr>
            </w:pPr>
            <w:r>
              <w:rPr>
                <w:rFonts w:ascii="Arial" w:cs="Arial" w:eastAsia="Arial" w:hAnsi="Arial"/>
                <w:sz w:val="14"/>
                <w:szCs w:val="14"/>
                <w:b w:val="1"/>
                <w:bCs w:val="1"/>
                <w:color w:val="auto"/>
                <w:w w:val="96"/>
              </w:rPr>
              <w:t>Cooley LLP</w:t>
            </w:r>
          </w:p>
        </w:tc>
        <w:tc>
          <w:tcPr>
            <w:tcW w:w="260" w:type="dxa"/>
            <w:vAlign w:val="bottom"/>
          </w:tcPr>
          <w:p>
            <w:pPr>
              <w:spacing w:after="0"/>
              <w:rPr>
                <w:sz w:val="11"/>
                <w:szCs w:val="11"/>
                <w:color w:val="auto"/>
              </w:rPr>
            </w:pPr>
          </w:p>
        </w:tc>
        <w:tc>
          <w:tcPr>
            <w:tcW w:w="18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NerdWallet, Inc.</w:t>
            </w:r>
          </w:p>
        </w:tc>
        <w:tc>
          <w:tcPr>
            <w:tcW w:w="3460" w:type="dxa"/>
            <w:vAlign w:val="bottom"/>
          </w:tcPr>
          <w:p>
            <w:pPr>
              <w:jc w:val="center"/>
              <w:ind w:left="1888"/>
              <w:spacing w:after="0" w:line="135" w:lineRule="exact"/>
              <w:rPr>
                <w:sz w:val="20"/>
                <w:szCs w:val="20"/>
                <w:color w:val="auto"/>
              </w:rPr>
            </w:pPr>
            <w:r>
              <w:rPr>
                <w:rFonts w:ascii="Arial" w:cs="Arial" w:eastAsia="Arial" w:hAnsi="Arial"/>
                <w:sz w:val="14"/>
                <w:szCs w:val="14"/>
                <w:b w:val="1"/>
                <w:bCs w:val="1"/>
                <w:color w:val="auto"/>
                <w:w w:val="92"/>
              </w:rPr>
              <w:t>140 Scott Drive</w:t>
            </w:r>
          </w:p>
        </w:tc>
      </w:tr>
      <w:tr>
        <w:trPr>
          <w:trHeight w:val="135"/>
        </w:trPr>
        <w:tc>
          <w:tcPr>
            <w:tcW w:w="3700" w:type="dxa"/>
            <w:vAlign w:val="bottom"/>
          </w:tcPr>
          <w:p>
            <w:pPr>
              <w:jc w:val="center"/>
              <w:ind w:right="1728"/>
              <w:spacing w:after="0" w:line="135" w:lineRule="exact"/>
              <w:rPr>
                <w:sz w:val="20"/>
                <w:szCs w:val="20"/>
                <w:color w:val="auto"/>
              </w:rPr>
            </w:pPr>
            <w:r>
              <w:rPr>
                <w:rFonts w:ascii="Arial" w:cs="Arial" w:eastAsia="Arial" w:hAnsi="Arial"/>
                <w:sz w:val="14"/>
                <w:szCs w:val="14"/>
                <w:b w:val="1"/>
                <w:bCs w:val="1"/>
                <w:color w:val="auto"/>
                <w:w w:val="93"/>
              </w:rPr>
              <w:t>3175 Hanover Street</w:t>
            </w:r>
          </w:p>
        </w:tc>
        <w:tc>
          <w:tcPr>
            <w:tcW w:w="20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875 Stevenson St., 5th Floor</w:t>
            </w:r>
          </w:p>
        </w:tc>
        <w:tc>
          <w:tcPr>
            <w:tcW w:w="3460" w:type="dxa"/>
            <w:vAlign w:val="bottom"/>
          </w:tcPr>
          <w:p>
            <w:pPr>
              <w:jc w:val="center"/>
              <w:ind w:left="1888"/>
              <w:spacing w:after="0" w:line="135" w:lineRule="exact"/>
              <w:rPr>
                <w:sz w:val="20"/>
                <w:szCs w:val="20"/>
                <w:color w:val="auto"/>
              </w:rPr>
            </w:pPr>
            <w:r>
              <w:rPr>
                <w:rFonts w:ascii="Arial" w:cs="Arial" w:eastAsia="Arial" w:hAnsi="Arial"/>
                <w:sz w:val="14"/>
                <w:szCs w:val="14"/>
                <w:b w:val="1"/>
                <w:bCs w:val="1"/>
                <w:color w:val="auto"/>
                <w:w w:val="97"/>
              </w:rPr>
              <w:t>Menlo Park, CA 94025</w:t>
            </w:r>
          </w:p>
        </w:tc>
      </w:tr>
      <w:tr>
        <w:trPr>
          <w:trHeight w:val="135"/>
        </w:trPr>
        <w:tc>
          <w:tcPr>
            <w:tcW w:w="3700" w:type="dxa"/>
            <w:vAlign w:val="bottom"/>
          </w:tcPr>
          <w:p>
            <w:pPr>
              <w:jc w:val="center"/>
              <w:ind w:right="1748"/>
              <w:spacing w:after="0" w:line="135" w:lineRule="exact"/>
              <w:rPr>
                <w:sz w:val="20"/>
                <w:szCs w:val="20"/>
                <w:color w:val="auto"/>
              </w:rPr>
            </w:pPr>
            <w:r>
              <w:rPr>
                <w:rFonts w:ascii="Arial" w:cs="Arial" w:eastAsia="Arial" w:hAnsi="Arial"/>
                <w:sz w:val="14"/>
                <w:szCs w:val="14"/>
                <w:b w:val="1"/>
                <w:bCs w:val="1"/>
                <w:color w:val="auto"/>
                <w:w w:val="94"/>
              </w:rPr>
              <w:t>Palo Alto, CA 94304</w:t>
            </w:r>
          </w:p>
        </w:tc>
        <w:tc>
          <w:tcPr>
            <w:tcW w:w="206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San Francisco, CA 94103</w:t>
            </w:r>
          </w:p>
        </w:tc>
        <w:tc>
          <w:tcPr>
            <w:tcW w:w="3460" w:type="dxa"/>
            <w:vAlign w:val="bottom"/>
          </w:tcPr>
          <w:p>
            <w:pPr>
              <w:jc w:val="right"/>
              <w:ind w:right="228"/>
              <w:spacing w:after="0" w:line="135" w:lineRule="exact"/>
              <w:rPr>
                <w:sz w:val="20"/>
                <w:szCs w:val="20"/>
                <w:color w:val="auto"/>
              </w:rPr>
            </w:pPr>
            <w:r>
              <w:rPr>
                <w:rFonts w:ascii="Arial" w:cs="Arial" w:eastAsia="Arial" w:hAnsi="Arial"/>
                <w:sz w:val="14"/>
                <w:szCs w:val="14"/>
                <w:b w:val="1"/>
                <w:bCs w:val="1"/>
                <w:color w:val="auto"/>
              </w:rPr>
              <w:t>(650) 328-4600</w:t>
            </w:r>
          </w:p>
        </w:tc>
      </w:tr>
      <w:tr>
        <w:trPr>
          <w:trHeight w:val="186"/>
        </w:trPr>
        <w:tc>
          <w:tcPr>
            <w:tcW w:w="3700" w:type="dxa"/>
            <w:vAlign w:val="bottom"/>
          </w:tcPr>
          <w:p>
            <w:pPr>
              <w:jc w:val="center"/>
              <w:ind w:right="1728"/>
              <w:spacing w:after="0"/>
              <w:rPr>
                <w:sz w:val="20"/>
                <w:szCs w:val="20"/>
                <w:color w:val="auto"/>
              </w:rPr>
            </w:pPr>
            <w:r>
              <w:rPr>
                <w:rFonts w:ascii="Arial" w:cs="Arial" w:eastAsia="Arial" w:hAnsi="Arial"/>
                <w:sz w:val="14"/>
                <w:szCs w:val="14"/>
                <w:b w:val="1"/>
                <w:bCs w:val="1"/>
                <w:color w:val="auto"/>
                <w:w w:val="93"/>
              </w:rPr>
              <w:t>(650) 843-5000</w:t>
            </w:r>
          </w:p>
        </w:tc>
        <w:tc>
          <w:tcPr>
            <w:tcW w:w="18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(415) 549-8913</w:t>
            </w:r>
          </w:p>
        </w:tc>
        <w:tc>
          <w:tcPr>
            <w:tcW w:w="260" w:type="dxa"/>
            <w:vAlign w:val="bottom"/>
          </w:tcPr>
          <w:p>
            <w:pPr>
              <w:spacing w:after="0"/>
              <w:rPr>
                <w:sz w:val="16"/>
                <w:szCs w:val="16"/>
                <w:color w:val="auto"/>
              </w:rPr>
            </w:pPr>
          </w:p>
        </w:tc>
        <w:tc>
          <w:tcPr>
            <w:tcW w:w="34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156210</wp:posOffset>
            </wp:positionV>
            <wp:extent cx="1311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71"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is declared effective.</w:t>
      </w:r>
    </w:p>
    <w:p>
      <w:pPr>
        <w:ind w:left="340"/>
        <w:spacing w:after="0" w:line="222" w:lineRule="auto"/>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p>
    <w:p>
      <w:pPr>
        <w:ind w:right="20" w:firstLine="324"/>
        <w:spacing w:after="0" w:line="13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right="40" w:firstLine="324"/>
        <w:spacing w:after="0" w:line="13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right="20" w:firstLine="324"/>
        <w:spacing w:after="0" w:line="135"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right="20" w:firstLine="324"/>
        <w:spacing w:after="0" w:line="22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68"/>
        </w:trPr>
        <w:tc>
          <w:tcPr>
            <w:tcW w:w="1360" w:type="dxa"/>
            <w:vAlign w:val="bottom"/>
          </w:tcPr>
          <w:p>
            <w:pPr>
              <w:spacing w:after="0"/>
              <w:rPr>
                <w:sz w:val="20"/>
                <w:szCs w:val="20"/>
                <w:color w:val="auto"/>
              </w:rPr>
            </w:pPr>
            <w:r>
              <w:rPr>
                <w:rFonts w:ascii="Arial" w:cs="Arial" w:eastAsia="Arial" w:hAnsi="Arial"/>
                <w:sz w:val="14"/>
                <w:szCs w:val="14"/>
                <w:color w:val="auto"/>
                <w:w w:val="96"/>
              </w:rPr>
              <w:t>Large accelerated filer</w:t>
            </w:r>
          </w:p>
        </w:tc>
        <w:tc>
          <w:tcPr>
            <w:tcW w:w="2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3660" w:type="dxa"/>
            <w:vAlign w:val="bottom"/>
          </w:tcPr>
          <w:p>
            <w:pPr>
              <w:ind w:left="20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20" w:type="dxa"/>
            <w:vAlign w:val="bottom"/>
          </w:tcPr>
          <w:p>
            <w:pPr>
              <w:spacing w:after="0"/>
              <w:rPr>
                <w:sz w:val="14"/>
                <w:szCs w:val="14"/>
                <w:color w:val="auto"/>
              </w:rPr>
            </w:pPr>
          </w:p>
        </w:tc>
      </w:tr>
      <w:tr>
        <w:trPr>
          <w:trHeight w:val="189"/>
        </w:trPr>
        <w:tc>
          <w:tcPr>
            <w:tcW w:w="1360" w:type="dxa"/>
            <w:vAlign w:val="bottom"/>
          </w:tcPr>
          <w:p>
            <w:pPr>
              <w:spacing w:after="0"/>
              <w:rPr>
                <w:sz w:val="20"/>
                <w:szCs w:val="20"/>
                <w:color w:val="auto"/>
              </w:rPr>
            </w:pPr>
            <w:r>
              <w:rPr>
                <w:rFonts w:ascii="Arial" w:cs="Arial" w:eastAsia="Arial" w:hAnsi="Arial"/>
                <w:sz w:val="14"/>
                <w:szCs w:val="14"/>
                <w:color w:val="auto"/>
              </w:rPr>
              <w:t>Non-accelerated filer</w:t>
            </w:r>
          </w:p>
        </w:tc>
        <w:tc>
          <w:tcPr>
            <w:tcW w:w="226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660" w:type="dxa"/>
            <w:vAlign w:val="bottom"/>
          </w:tcPr>
          <w:p>
            <w:pPr>
              <w:ind w:left="2000"/>
              <w:spacing w:after="0"/>
              <w:rPr>
                <w:sz w:val="20"/>
                <w:szCs w:val="20"/>
                <w:color w:val="auto"/>
              </w:rPr>
            </w:pPr>
            <w:r>
              <w:rPr>
                <w:rFonts w:ascii="Arial" w:cs="Arial" w:eastAsia="Arial" w:hAnsi="Arial"/>
                <w:sz w:val="14"/>
                <w:szCs w:val="14"/>
                <w:color w:val="auto"/>
                <w:w w:val="98"/>
              </w:rPr>
              <w:t>Smaller reporting company</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660" w:type="dxa"/>
            <w:vAlign w:val="bottom"/>
          </w:tcPr>
          <w:p>
            <w:pPr>
              <w:ind w:left="2000"/>
              <w:spacing w:after="0"/>
              <w:rPr>
                <w:sz w:val="20"/>
                <w:szCs w:val="20"/>
                <w:color w:val="auto"/>
              </w:rPr>
            </w:pPr>
            <w:r>
              <w:rPr>
                <w:rFonts w:ascii="Arial" w:cs="Arial" w:eastAsia="Arial" w:hAnsi="Arial"/>
                <w:sz w:val="14"/>
                <w:szCs w:val="14"/>
                <w:color w:val="auto"/>
                <w:w w:val="98"/>
              </w:rPr>
              <w:t>Emerging growth company</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9" w:lineRule="exact"/>
        <w:rPr>
          <w:sz w:val="24"/>
          <w:szCs w:val="24"/>
          <w:color w:val="auto"/>
        </w:rPr>
      </w:pPr>
    </w:p>
    <w:p>
      <w:pPr>
        <w:ind w:right="2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40640</wp:posOffset>
            </wp:positionV>
            <wp:extent cx="1311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8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4560" w:type="dxa"/>
            <w:vAlign w:val="bottom"/>
            <w:tcBorders>
              <w:top w:val="single" w:sz="8" w:color="auto"/>
              <w:left w:val="single" w:sz="8" w:color="auto"/>
              <w:right w:val="single" w:sz="8" w:color="auto"/>
            </w:tcBorders>
          </w:tcPr>
          <w:p>
            <w:pPr>
              <w:spacing w:after="0"/>
              <w:rPr>
                <w:sz w:val="15"/>
                <w:szCs w:val="15"/>
                <w:color w:val="auto"/>
              </w:rPr>
            </w:pPr>
          </w:p>
        </w:tc>
        <w:tc>
          <w:tcPr>
            <w:tcW w:w="1640" w:type="dxa"/>
            <w:vAlign w:val="bottom"/>
            <w:tcBorders>
              <w:top w:val="single" w:sz="8" w:color="auto"/>
              <w:right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0" w:type="dxa"/>
            <w:vAlign w:val="bottom"/>
            <w:tcBorders>
              <w:top w:val="single" w:sz="8" w:color="auto"/>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right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Proposed Maximum</w:t>
            </w: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right w:val="single" w:sz="8" w:color="auto"/>
            </w:tcBorders>
          </w:tcPr>
          <w:p>
            <w:pPr>
              <w:spacing w:after="0"/>
              <w:rPr>
                <w:sz w:val="15"/>
                <w:szCs w:val="15"/>
                <w:color w:val="auto"/>
              </w:rPr>
            </w:pPr>
          </w:p>
        </w:tc>
      </w:tr>
      <w:tr>
        <w:trPr>
          <w:trHeight w:val="159"/>
        </w:trPr>
        <w:tc>
          <w:tcPr>
            <w:tcW w:w="4560" w:type="dxa"/>
            <w:vAlign w:val="bottom"/>
            <w:tcBorders>
              <w:left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3"/>
              </w:rPr>
              <w:t>Title of Each Class of</w:t>
            </w:r>
          </w:p>
        </w:tc>
        <w:tc>
          <w:tcPr>
            <w:tcW w:w="16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3"/>
              </w:rPr>
              <w:t>Amount to be</w:t>
            </w:r>
          </w:p>
        </w:tc>
        <w:tc>
          <w:tcPr>
            <w:tcW w:w="1680" w:type="dxa"/>
            <w:vAlign w:val="bottom"/>
            <w:tcBorders>
              <w:right w:val="single" w:sz="8" w:color="auto"/>
            </w:tcBorders>
            <w:gridSpan w:val="2"/>
          </w:tcPr>
          <w:p>
            <w:pPr>
              <w:ind w:left="20"/>
              <w:spacing w:after="0" w:line="159" w:lineRule="exact"/>
              <w:rPr>
                <w:sz w:val="20"/>
                <w:szCs w:val="20"/>
                <w:color w:val="auto"/>
              </w:rPr>
            </w:pPr>
            <w:r>
              <w:rPr>
                <w:rFonts w:ascii="Arial" w:cs="Arial" w:eastAsia="Arial" w:hAnsi="Arial"/>
                <w:sz w:val="14"/>
                <w:szCs w:val="14"/>
                <w:b w:val="1"/>
                <w:bCs w:val="1"/>
                <w:color w:val="auto"/>
                <w:w w:val="94"/>
              </w:rPr>
              <w:t>Proposed Maximum Price</w:t>
            </w:r>
          </w:p>
        </w:tc>
        <w:tc>
          <w:tcPr>
            <w:tcW w:w="160" w:type="dxa"/>
            <w:vAlign w:val="bottom"/>
          </w:tcPr>
          <w:p>
            <w:pPr>
              <w:spacing w:after="0"/>
              <w:rPr>
                <w:sz w:val="13"/>
                <w:szCs w:val="13"/>
                <w:color w:val="auto"/>
              </w:rPr>
            </w:pPr>
          </w:p>
        </w:tc>
        <w:tc>
          <w:tcPr>
            <w:tcW w:w="1540" w:type="dxa"/>
            <w:vAlign w:val="bottom"/>
            <w:tcBorders>
              <w:right w:val="single" w:sz="8" w:color="auto"/>
            </w:tcBorders>
          </w:tcPr>
          <w:p>
            <w:pPr>
              <w:jc w:val="center"/>
              <w:ind w:right="104"/>
              <w:spacing w:after="0" w:line="159" w:lineRule="exact"/>
              <w:rPr>
                <w:sz w:val="20"/>
                <w:szCs w:val="20"/>
                <w:color w:val="auto"/>
              </w:rPr>
            </w:pPr>
            <w:r>
              <w:rPr>
                <w:rFonts w:ascii="Arial" w:cs="Arial" w:eastAsia="Arial" w:hAnsi="Arial"/>
                <w:sz w:val="14"/>
                <w:szCs w:val="14"/>
                <w:b w:val="1"/>
                <w:bCs w:val="1"/>
                <w:color w:val="auto"/>
                <w:w w:val="94"/>
              </w:rPr>
              <w:t>Aggregate Offering</w:t>
            </w:r>
          </w:p>
        </w:tc>
        <w:tc>
          <w:tcPr>
            <w:tcW w:w="180" w:type="dxa"/>
            <w:vAlign w:val="bottom"/>
          </w:tcPr>
          <w:p>
            <w:pPr>
              <w:spacing w:after="0"/>
              <w:rPr>
                <w:sz w:val="13"/>
                <w:szCs w:val="13"/>
                <w:color w:val="auto"/>
              </w:rPr>
            </w:pPr>
          </w:p>
        </w:tc>
        <w:tc>
          <w:tcPr>
            <w:tcW w:w="1500" w:type="dxa"/>
            <w:vAlign w:val="bottom"/>
            <w:tcBorders>
              <w:right w:val="single" w:sz="8" w:color="auto"/>
            </w:tcBorders>
          </w:tcPr>
          <w:p>
            <w:pPr>
              <w:jc w:val="center"/>
              <w:ind w:right="122"/>
              <w:spacing w:after="0" w:line="159" w:lineRule="exact"/>
              <w:rPr>
                <w:sz w:val="20"/>
                <w:szCs w:val="20"/>
                <w:color w:val="auto"/>
              </w:rPr>
            </w:pPr>
            <w:r>
              <w:rPr>
                <w:rFonts w:ascii="Arial" w:cs="Arial" w:eastAsia="Arial" w:hAnsi="Arial"/>
                <w:sz w:val="14"/>
                <w:szCs w:val="14"/>
                <w:b w:val="1"/>
                <w:bCs w:val="1"/>
                <w:color w:val="auto"/>
                <w:w w:val="94"/>
              </w:rPr>
              <w:t>Amount of</w:t>
            </w:r>
          </w:p>
        </w:tc>
      </w:tr>
      <w:tr>
        <w:trPr>
          <w:trHeight w:val="215"/>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Registered</w:t>
            </w:r>
            <w:r>
              <w:rPr>
                <w:rFonts w:ascii="Arial" w:cs="Arial" w:eastAsia="Arial" w:hAnsi="Arial"/>
                <w:sz w:val="18"/>
                <w:szCs w:val="18"/>
                <w:b w:val="1"/>
                <w:bCs w:val="1"/>
                <w:color w:val="auto"/>
                <w:w w:val="87"/>
                <w:vertAlign w:val="superscript"/>
              </w:rPr>
              <w:t>(1)</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5"/>
              </w:rPr>
              <w:t>Price</w:t>
            </w:r>
            <w:r>
              <w:rPr>
                <w:rFonts w:ascii="Arial" w:cs="Arial" w:eastAsia="Arial" w:hAnsi="Arial"/>
                <w:sz w:val="18"/>
                <w:szCs w:val="18"/>
                <w:b w:val="1"/>
                <w:bCs w:val="1"/>
                <w:color w:val="auto"/>
                <w:w w:val="85"/>
                <w:vertAlign w:val="superscript"/>
              </w:rPr>
              <w:t>(2)</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0"/>
              </w:rPr>
              <w:t>Registration Fee</w:t>
            </w:r>
            <w:r>
              <w:rPr>
                <w:rFonts w:ascii="Arial" w:cs="Arial" w:eastAsia="Arial" w:hAnsi="Arial"/>
                <w:sz w:val="18"/>
                <w:szCs w:val="18"/>
                <w:b w:val="1"/>
                <w:bCs w:val="1"/>
                <w:color w:val="auto"/>
                <w:w w:val="90"/>
                <w:vertAlign w:val="superscript"/>
              </w:rPr>
              <w:t>(3)</w:t>
            </w:r>
          </w:p>
        </w:tc>
      </w:tr>
      <w:tr>
        <w:trPr>
          <w:trHeight w:val="236"/>
        </w:trPr>
        <w:tc>
          <w:tcPr>
            <w:tcW w:w="4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Class A common stock, $0.0001 par value per share</w:t>
            </w:r>
          </w:p>
        </w:tc>
        <w:tc>
          <w:tcPr>
            <w:tcW w:w="1640" w:type="dxa"/>
            <w:vAlign w:val="bottom"/>
            <w:tcBorders>
              <w:right w:val="single" w:sz="8" w:color="auto"/>
            </w:tcBorders>
          </w:tcPr>
          <w:p>
            <w:pPr>
              <w:jc w:val="right"/>
              <w:ind w:right="22"/>
              <w:spacing w:after="0"/>
              <w:rPr>
                <w:sz w:val="20"/>
                <w:szCs w:val="20"/>
                <w:color w:val="auto"/>
              </w:rPr>
            </w:pPr>
            <w:r>
              <w:rPr>
                <w:rFonts w:ascii="Arial" w:cs="Arial" w:eastAsia="Arial" w:hAnsi="Arial"/>
                <w:sz w:val="18"/>
                <w:szCs w:val="18"/>
                <w:color w:val="auto"/>
              </w:rPr>
              <w:t>8,337,500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auto"/>
            </w:tcBorders>
          </w:tcPr>
          <w:p>
            <w:pPr>
              <w:jc w:val="right"/>
              <w:ind w:right="24"/>
              <w:spacing w:after="0"/>
              <w:rPr>
                <w:sz w:val="20"/>
                <w:szCs w:val="20"/>
                <w:color w:val="auto"/>
              </w:rPr>
            </w:pPr>
            <w:r>
              <w:rPr>
                <w:rFonts w:ascii="Arial" w:cs="Arial" w:eastAsia="Arial" w:hAnsi="Arial"/>
                <w:sz w:val="18"/>
                <w:szCs w:val="18"/>
                <w:color w:val="auto"/>
              </w:rPr>
              <w:t>158,412,500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auto"/>
            </w:tcBorders>
          </w:tcPr>
          <w:p>
            <w:pPr>
              <w:jc w:val="right"/>
              <w:ind w:right="22"/>
              <w:spacing w:after="0"/>
              <w:rPr>
                <w:sz w:val="20"/>
                <w:szCs w:val="20"/>
                <w:color w:val="auto"/>
              </w:rPr>
            </w:pPr>
            <w:r>
              <w:rPr>
                <w:rFonts w:ascii="Arial" w:cs="Arial" w:eastAsia="Arial" w:hAnsi="Arial"/>
                <w:sz w:val="18"/>
                <w:szCs w:val="18"/>
                <w:color w:val="auto"/>
              </w:rPr>
              <w:t>14,684.84</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34"/>
        </w:trPr>
        <w:tc>
          <w:tcPr>
            <w:tcW w:w="4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3905250</wp:posOffset>
            </wp:positionH>
            <wp:positionV relativeFrom="paragraph">
              <wp:posOffset>-222250</wp:posOffset>
            </wp:positionV>
            <wp:extent cx="25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15"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that the underwriters have the option to purchase.</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of the Securities Act of 1933, as amended.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a registration fee of $9,270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56515</wp:posOffset>
            </wp:positionV>
            <wp:extent cx="1311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14" w:lineRule="exact"/>
        <w:rPr>
          <w:sz w:val="24"/>
          <w:szCs w:val="24"/>
          <w:color w:val="auto"/>
        </w:rPr>
      </w:pPr>
    </w:p>
    <w:p>
      <w:pPr>
        <w:jc w:val="both"/>
        <w:ind w:right="20"/>
        <w:spacing w:after="0" w:line="26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260"/>
          </w:cols>
          <w:pgMar w:left="320" w:top="468" w:right="31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4"/>
          <w:szCs w:val="14"/>
          <w:b w:val="1"/>
          <w:bCs w:val="1"/>
          <w:color w:val="F1665F"/>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F1665F"/>
        </w:rPr>
        <w:t>Subject to Completion, dated October 26, 2021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F1665F"/>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219075</wp:posOffset>
            </wp:positionV>
            <wp:extent cx="3857625" cy="857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5762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20"/>
        <w:spacing w:after="0"/>
        <w:rPr>
          <w:sz w:val="20"/>
          <w:szCs w:val="20"/>
          <w:color w:val="auto"/>
        </w:rPr>
      </w:pPr>
      <w:r>
        <w:rPr>
          <w:rFonts w:ascii="Arial" w:cs="Arial" w:eastAsia="Arial" w:hAnsi="Arial"/>
          <w:sz w:val="32"/>
          <w:szCs w:val="32"/>
          <w:b w:val="1"/>
          <w:bCs w:val="1"/>
          <w:color w:val="auto"/>
        </w:rPr>
        <w:t>7,250,000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75565</wp:posOffset>
            </wp:positionV>
            <wp:extent cx="1645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is an initial public offering of shares of Class A common stock of NerdWallet, Inc.</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Prior to this offering, there has been no public market for our Class A common stock. It is currently estimated that the initial public offering price will be between $17.00 and $19.00 per share. We have applied to list our Class A common stock on the Nasdaq Stock Market under the symbol “NRDS.”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ten votes and is convertible at any time into one share of Class A common stock. The beneficial owners of our Class B common stock are Tim Chen, our co-founder, chief executive officer and chairman of our board of directors, and his affiliated trusts. As the holders of our outstanding Class B common stock, Mr. Chen and his affiliated trusts will hold approximately 90.6% of the voting power of our outstanding capital stock immediately following this offering. As a result, we will be a “controlled company” within the meaning of the Nasdaq Listing Rules and Nasdaq corporate governance standards. This ownership means that, for the foreseeable future, holders of our Class A common stock will not have a meaningful voice in our corporate affairs and that the control of our company will be concentrated with Mr. Chen. For additional information, see the sections titled “Risk Factors—Risks Related to this Offering and Ownership of Our Class A Common Stock" and “Management—Controlled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78740</wp:posOffset>
            </wp:positionV>
            <wp:extent cx="1645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See the section titled “Risk Factors” beginning on page 14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60325</wp:posOffset>
            </wp:positionV>
            <wp:extent cx="16459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31750</wp:posOffset>
            </wp:positionV>
            <wp:extent cx="16459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4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i w:val="1"/>
                <w:iCs w:val="1"/>
                <w:color w:val="auto"/>
                <w:w w:val="91"/>
              </w:rPr>
              <w:t>Per Share</w:t>
            </w:r>
          </w:p>
        </w:tc>
        <w:tc>
          <w:tcPr>
            <w:tcW w:w="13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Total</w:t>
            </w:r>
          </w:p>
        </w:tc>
      </w:tr>
      <w:tr>
        <w:trPr>
          <w:trHeight w:val="25"/>
        </w:trPr>
        <w:tc>
          <w:tcPr>
            <w:tcW w:w="8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i w:val="1"/>
                <w:iCs w:val="1"/>
                <w:color w:val="auto"/>
              </w:rPr>
              <w:t>Initial public offering price</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79"/>
              </w:rPr>
              <w:t>$</w:t>
            </w:r>
          </w:p>
        </w:tc>
      </w:tr>
      <w:tr>
        <w:trPr>
          <w:trHeight w:val="310"/>
        </w:trPr>
        <w:tc>
          <w:tcPr>
            <w:tcW w:w="8440" w:type="dxa"/>
            <w:vAlign w:val="bottom"/>
          </w:tcPr>
          <w:p>
            <w:pPr>
              <w:ind w:left="20"/>
              <w:spacing w:after="0"/>
              <w:rPr>
                <w:sz w:val="20"/>
                <w:szCs w:val="20"/>
                <w:color w:val="auto"/>
              </w:rPr>
            </w:pPr>
            <w:r>
              <w:rPr>
                <w:rFonts w:ascii="Arial" w:cs="Arial" w:eastAsia="Arial" w:hAnsi="Arial"/>
                <w:sz w:val="18"/>
                <w:szCs w:val="18"/>
                <w:i w:val="1"/>
                <w:iCs w:val="1"/>
                <w:color w:val="auto"/>
              </w:rPr>
              <w:t>Underwriting discount</w:t>
            </w:r>
            <w:r>
              <w:rPr>
                <w:rFonts w:ascii="Arial" w:cs="Arial" w:eastAsia="Arial" w:hAnsi="Arial"/>
                <w:sz w:val="23"/>
                <w:szCs w:val="23"/>
                <w:i w:val="1"/>
                <w:iCs w:val="1"/>
                <w:color w:val="auto"/>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79"/>
              </w:rPr>
              <w:t>$</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i w:val="1"/>
                <w:iCs w:val="1"/>
                <w:color w:val="auto"/>
              </w:rPr>
              <w:t>Proceeds, before expenses, to us</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79"/>
              </w:rPr>
              <w:t>$</w:t>
            </w:r>
          </w:p>
        </w:tc>
      </w:tr>
      <w:tr>
        <w:trPr>
          <w:trHeight w:val="236"/>
        </w:trPr>
        <w:tc>
          <w:tcPr>
            <w:tcW w:w="8440" w:type="dxa"/>
            <w:vAlign w:val="bottom"/>
          </w:tcPr>
          <w:p>
            <w:pPr>
              <w:spacing w:after="0"/>
              <w:rPr>
                <w:sz w:val="20"/>
                <w:szCs w:val="20"/>
                <w:color w:val="auto"/>
              </w:rPr>
            </w:pPr>
            <w:r>
              <w:rPr>
                <w:rFonts w:ascii="Arial" w:cs="Arial" w:eastAsia="Arial" w:hAnsi="Arial"/>
                <w:sz w:val="18"/>
                <w:szCs w:val="18"/>
                <w:color w:val="auto"/>
              </w:rPr>
              <w:t>_______________</w:t>
            </w: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ind w:left="320" w:hanging="312"/>
        <w:spacing w:after="0"/>
        <w:tabs>
          <w:tab w:leader="none" w:pos="32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See the section titled “Underwriters” for additional information regarding compensation payable to the underwriters.</w:t>
      </w:r>
    </w:p>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extent that the underwriters sell more than 7,250,000 shares of Class A common stock, the underwriters have the option to purchase up to an additional 1,087,500 shares of Class A common stock from us at the initial public offering price less the underwriting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66040</wp:posOffset>
            </wp:positionV>
            <wp:extent cx="16459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6"/>
          </w:tcPr>
          <w:p>
            <w:pPr>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1860" w:type="dxa"/>
            <w:vAlign w:val="bottom"/>
          </w:tcPr>
          <w:p>
            <w:pPr>
              <w:jc w:val="right"/>
              <w:ind w:right="1255"/>
              <w:spacing w:after="0"/>
              <w:rPr>
                <w:sz w:val="20"/>
                <w:szCs w:val="20"/>
                <w:color w:val="auto"/>
              </w:rPr>
            </w:pPr>
            <w:r>
              <w:rPr>
                <w:rFonts w:ascii="Arial" w:cs="Arial" w:eastAsia="Arial" w:hAnsi="Arial"/>
                <w:sz w:val="18"/>
                <w:szCs w:val="18"/>
                <w:color w:val="auto"/>
                <w:w w:val="99"/>
              </w:rPr>
              <w:t>,2021.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60" w:type="dxa"/>
            <w:vAlign w:val="bottom"/>
          </w:tcPr>
          <w:p>
            <w:pPr>
              <w:ind w:left="400"/>
              <w:spacing w:after="0"/>
              <w:rPr>
                <w:sz w:val="20"/>
                <w:szCs w:val="20"/>
                <w:color w:val="auto"/>
              </w:rPr>
            </w:pPr>
            <w:r>
              <w:rPr>
                <w:rFonts w:ascii="Arial" w:cs="Arial" w:eastAsia="Arial" w:hAnsi="Arial"/>
                <w:sz w:val="16"/>
                <w:szCs w:val="16"/>
                <w:b w:val="1"/>
                <w:bCs w:val="1"/>
                <w:color w:val="auto"/>
              </w:rPr>
              <w:t>MORGAN STANLEY</w:t>
            </w:r>
          </w:p>
        </w:tc>
        <w:tc>
          <w:tcPr>
            <w:tcW w:w="740" w:type="dxa"/>
            <w:vAlign w:val="bottom"/>
          </w:tcPr>
          <w:p>
            <w:pPr>
              <w:spacing w:after="0"/>
              <w:rPr>
                <w:sz w:val="24"/>
                <w:szCs w:val="24"/>
                <w:color w:val="auto"/>
              </w:rPr>
            </w:pPr>
          </w:p>
        </w:tc>
        <w:tc>
          <w:tcPr>
            <w:tcW w:w="3520" w:type="dxa"/>
            <w:vAlign w:val="bottom"/>
            <w:gridSpan w:val="2"/>
          </w:tcPr>
          <w:p>
            <w:pPr>
              <w:ind w:left="120"/>
              <w:spacing w:after="0"/>
              <w:rPr>
                <w:sz w:val="20"/>
                <w:szCs w:val="20"/>
                <w:color w:val="auto"/>
              </w:rPr>
            </w:pPr>
            <w:r>
              <w:rPr>
                <w:rFonts w:ascii="Arial" w:cs="Arial" w:eastAsia="Arial" w:hAnsi="Arial"/>
                <w:sz w:val="16"/>
                <w:szCs w:val="16"/>
                <w:b w:val="1"/>
                <w:bCs w:val="1"/>
                <w:color w:val="auto"/>
              </w:rPr>
              <w:t>KEYBANC CAPITAL MARKETS</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BOFA SECURITIES</w:t>
            </w:r>
          </w:p>
        </w:tc>
        <w:tc>
          <w:tcPr>
            <w:tcW w:w="1860" w:type="dxa"/>
            <w:vAlign w:val="bottom"/>
          </w:tcPr>
          <w:p>
            <w:pPr>
              <w:jc w:val="right"/>
              <w:ind w:right="215"/>
              <w:spacing w:after="0"/>
              <w:rPr>
                <w:sz w:val="20"/>
                <w:szCs w:val="20"/>
                <w:color w:val="auto"/>
              </w:rPr>
            </w:pPr>
            <w:r>
              <w:rPr>
                <w:rFonts w:ascii="Arial" w:cs="Arial" w:eastAsia="Arial" w:hAnsi="Arial"/>
                <w:sz w:val="16"/>
                <w:szCs w:val="16"/>
                <w:b w:val="1"/>
                <w:bCs w:val="1"/>
                <w:color w:val="auto"/>
              </w:rPr>
              <w:t>BARCLAYS</w:t>
            </w:r>
          </w:p>
        </w:tc>
        <w:tc>
          <w:tcPr>
            <w:tcW w:w="1220" w:type="dxa"/>
            <w:vAlign w:val="bottom"/>
          </w:tcPr>
          <w:p>
            <w:pPr>
              <w:ind w:left="280"/>
              <w:spacing w:after="0"/>
              <w:rPr>
                <w:sz w:val="20"/>
                <w:szCs w:val="20"/>
                <w:color w:val="auto"/>
              </w:rPr>
            </w:pPr>
            <w:r>
              <w:rPr>
                <w:rFonts w:ascii="Arial" w:cs="Arial" w:eastAsia="Arial" w:hAnsi="Arial"/>
                <w:sz w:val="16"/>
                <w:szCs w:val="16"/>
                <w:b w:val="1"/>
                <w:bCs w:val="1"/>
                <w:color w:val="auto"/>
              </w:rPr>
              <w:t>CITIGROUP</w:t>
            </w:r>
          </w:p>
        </w:tc>
        <w:tc>
          <w:tcPr>
            <w:tcW w:w="0" w:type="dxa"/>
            <w:vAlign w:val="bottom"/>
          </w:tcPr>
          <w:p>
            <w:pPr>
              <w:spacing w:after="0"/>
              <w:rPr>
                <w:sz w:val="1"/>
                <w:szCs w:val="1"/>
                <w:color w:val="auto"/>
              </w:rPr>
            </w:pPr>
          </w:p>
        </w:tc>
      </w:tr>
      <w:tr>
        <w:trPr>
          <w:trHeight w:val="326"/>
        </w:trPr>
        <w:tc>
          <w:tcPr>
            <w:tcW w:w="2800" w:type="dxa"/>
            <w:vAlign w:val="bottom"/>
            <w:gridSpan w:val="2"/>
          </w:tcPr>
          <w:p>
            <w:pPr>
              <w:ind w:left="980"/>
              <w:spacing w:after="0"/>
              <w:rPr>
                <w:sz w:val="20"/>
                <w:szCs w:val="20"/>
                <w:color w:val="auto"/>
              </w:rPr>
            </w:pPr>
            <w:r>
              <w:rPr>
                <w:rFonts w:ascii="Arial" w:cs="Arial" w:eastAsia="Arial" w:hAnsi="Arial"/>
                <w:sz w:val="17"/>
                <w:szCs w:val="17"/>
                <w:b w:val="1"/>
                <w:bCs w:val="1"/>
                <w:color w:val="auto"/>
              </w:rPr>
              <w:t>TRUIST SECURITIES</w:t>
            </w:r>
          </w:p>
        </w:tc>
        <w:tc>
          <w:tcPr>
            <w:tcW w:w="1520" w:type="dxa"/>
            <w:vAlign w:val="bottom"/>
          </w:tcPr>
          <w:p>
            <w:pPr>
              <w:spacing w:after="0"/>
              <w:rPr>
                <w:sz w:val="24"/>
                <w:szCs w:val="24"/>
                <w:color w:val="auto"/>
              </w:rPr>
            </w:pPr>
          </w:p>
        </w:tc>
        <w:tc>
          <w:tcPr>
            <w:tcW w:w="2000" w:type="dxa"/>
            <w:vAlign w:val="bottom"/>
          </w:tcPr>
          <w:p>
            <w:pPr>
              <w:ind w:left="580"/>
              <w:spacing w:after="0"/>
              <w:rPr>
                <w:sz w:val="20"/>
                <w:szCs w:val="20"/>
                <w:color w:val="auto"/>
              </w:rPr>
            </w:pPr>
            <w:r>
              <w:rPr>
                <w:rFonts w:ascii="Arial" w:cs="Arial" w:eastAsia="Arial" w:hAnsi="Arial"/>
                <w:sz w:val="17"/>
                <w:szCs w:val="17"/>
                <w:b w:val="1"/>
                <w:bCs w:val="1"/>
                <w:color w:val="auto"/>
              </w:rPr>
              <w:t>WILLIAM BLAIR</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80" w:type="dxa"/>
            <w:vAlign w:val="bottom"/>
            <w:gridSpan w:val="2"/>
          </w:tcPr>
          <w:p>
            <w:pPr>
              <w:ind w:left="600"/>
              <w:spacing w:after="0"/>
              <w:rPr>
                <w:sz w:val="20"/>
                <w:szCs w:val="20"/>
                <w:color w:val="auto"/>
              </w:rPr>
            </w:pPr>
            <w:r>
              <w:rPr>
                <w:rFonts w:ascii="Arial" w:cs="Arial" w:eastAsia="Arial" w:hAnsi="Arial"/>
                <w:sz w:val="17"/>
                <w:szCs w:val="17"/>
                <w:b w:val="1"/>
                <w:bCs w:val="1"/>
                <w:color w:val="auto"/>
              </w:rPr>
              <w:t>OPPENHEIMER &amp; CO.</w:t>
            </w:r>
          </w:p>
        </w:tc>
        <w:tc>
          <w:tcPr>
            <w:tcW w:w="0" w:type="dxa"/>
            <w:vAlign w:val="bottom"/>
          </w:tcPr>
          <w:p>
            <w:pPr>
              <w:spacing w:after="0"/>
              <w:rPr>
                <w:sz w:val="1"/>
                <w:szCs w:val="1"/>
                <w:color w:val="auto"/>
              </w:rPr>
            </w:pPr>
          </w:p>
        </w:tc>
      </w:tr>
      <w:tr>
        <w:trPr>
          <w:trHeight w:val="274"/>
        </w:trPr>
        <w:tc>
          <w:tcPr>
            <w:tcW w:w="2060" w:type="dxa"/>
            <w:vAlign w:val="bottom"/>
            <w:vMerge w:val="restart"/>
          </w:tcPr>
          <w:p>
            <w:pPr>
              <w:spacing w:after="0"/>
              <w:rPr>
                <w:sz w:val="20"/>
                <w:szCs w:val="20"/>
                <w:color w:val="auto"/>
              </w:rPr>
            </w:pPr>
            <w:r>
              <w:rPr>
                <w:rFonts w:ascii="Arial" w:cs="Arial" w:eastAsia="Arial" w:hAnsi="Arial"/>
                <w:sz w:val="18"/>
                <w:szCs w:val="18"/>
                <w:color w:val="auto"/>
              </w:rPr>
              <w:t>Prospectus dated</w:t>
            </w:r>
          </w:p>
        </w:tc>
        <w:tc>
          <w:tcPr>
            <w:tcW w:w="740" w:type="dxa"/>
            <w:vAlign w:val="bottom"/>
            <w:vMerge w:val="restart"/>
          </w:tcPr>
          <w:p>
            <w:pPr>
              <w:jc w:val="right"/>
              <w:ind w:right="90"/>
              <w:spacing w:after="0"/>
              <w:rPr>
                <w:sz w:val="20"/>
                <w:szCs w:val="20"/>
                <w:color w:val="auto"/>
              </w:rPr>
            </w:pPr>
            <w:r>
              <w:rPr>
                <w:rFonts w:ascii="Arial" w:cs="Arial" w:eastAsia="Arial" w:hAnsi="Arial"/>
                <w:sz w:val="18"/>
                <w:szCs w:val="18"/>
                <w:color w:val="auto"/>
              </w:rPr>
              <w:t>, 2021</w:t>
            </w:r>
          </w:p>
        </w:tc>
        <w:tc>
          <w:tcPr>
            <w:tcW w:w="1520" w:type="dxa"/>
            <w:vAlign w:val="bottom"/>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2" w:right="33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8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8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7003415" cy="905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03415"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8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GLOSSARY OF TERMS</w:t>
      </w:r>
    </w:p>
    <w:p>
      <w:pPr>
        <w:sectPr>
          <w:pgSz w:w="11900" w:h="16838" w:orient="portrait"/>
          <w:cols w:equalWidth="0" w:num="1">
            <w:col w:w="11160"/>
          </w:cols>
          <w:pgMar w:left="340" w:top="1440" w:right="39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define Adjusted EBITDA as net income (loss) from continuing operations adjusted to exclude depreciation and amortization, interest expense, net, provision (benefit) for income taxes, and further exclude (1) loss (gain) on impairment and on disposal of assets, (2) remeasurement of the embedded derivative in long-term debt, (3) change in fair value of contingent consideration related to earnouts, (4) deferred compensation related to earnouts, (5) stock-based compensation, and (6) acquisition-related costs.</w:t>
      </w:r>
    </w:p>
    <w:p>
      <w:pPr>
        <w:spacing w:after="0" w:line="26" w:lineRule="exact"/>
        <w:rPr>
          <w:sz w:val="20"/>
          <w:szCs w:val="20"/>
          <w:color w:val="auto"/>
        </w:rPr>
      </w:pPr>
    </w:p>
    <w:p>
      <w:pPr>
        <w:sectPr>
          <w:pgSz w:w="11900" w:h="16838" w:orient="portrait"/>
          <w:cols w:equalWidth="0" w:num="2">
            <w:col w:w="2760" w:space="720"/>
            <w:col w:w="7680"/>
          </w:cols>
          <w:pgMar w:left="340" w:top="1440" w:right="3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KYM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Notice Media Ltd., doing business as Know Your Money</w:t>
      </w:r>
    </w:p>
    <w:p>
      <w:pPr>
        <w:spacing w:after="0" w:line="81" w:lineRule="exact"/>
        <w:rPr>
          <w:sz w:val="20"/>
          <w:szCs w:val="20"/>
          <w:color w:val="auto"/>
        </w:rPr>
      </w:pPr>
    </w:p>
    <w:p>
      <w:pPr>
        <w:sectPr>
          <w:pgSz w:w="11900" w:h="16838" w:orient="portrait"/>
          <w:cols w:equalWidth="0" w:num="2">
            <w:col w:w="2760" w:space="720"/>
            <w:col w:w="7680"/>
          </w:cols>
          <w:pgMar w:left="340" w:top="1440" w:right="3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Monthly Unique Users (“MUUs”)</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7"/>
          <w:szCs w:val="17"/>
          <w:color w:val="auto"/>
        </w:rPr>
        <w:t>We define a Monthly Unique User (“MUU”) as a unique user with at least one session on our platform in a given month as determined by a unique device identifier. MUUs during a time period longer than one month are measured by averaging the MUUs of each month within that period.</w:t>
      </w:r>
    </w:p>
    <w:p>
      <w:pPr>
        <w:spacing w:after="0" w:line="2" w:lineRule="exact"/>
        <w:rPr>
          <w:sz w:val="20"/>
          <w:szCs w:val="20"/>
          <w:color w:val="auto"/>
        </w:rPr>
      </w:pPr>
    </w:p>
    <w:p>
      <w:pPr>
        <w:sectPr>
          <w:pgSz w:w="11900" w:h="16838" w:orient="portrait"/>
          <w:cols w:equalWidth="0" w:num="2">
            <w:col w:w="2760" w:space="720"/>
            <w:col w:w="7680"/>
          </w:cols>
          <w:pgMar w:left="340" w:top="1440" w:right="3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SMBs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Small and mid-sized businesses.</w:t>
      </w:r>
    </w:p>
    <w:p>
      <w:pPr>
        <w:spacing w:after="0" w:line="93" w:lineRule="exact"/>
        <w:rPr>
          <w:sz w:val="20"/>
          <w:szCs w:val="20"/>
          <w:color w:val="auto"/>
        </w:rPr>
      </w:pPr>
    </w:p>
    <w:p>
      <w:pPr>
        <w:sectPr>
          <w:pgSz w:w="11900" w:h="16838" w:orient="portrait"/>
          <w:cols w:equalWidth="0" w:num="2">
            <w:col w:w="2760" w:space="720"/>
            <w:col w:w="7680"/>
          </w:cols>
          <w:pgMar w:left="340" w:top="1440" w:right="3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Registered User</w:t>
      </w:r>
    </w:p>
    <w:p>
      <w:pPr>
        <w:spacing w:after="0" w:line="20" w:lineRule="exact"/>
        <w:rPr>
          <w:sz w:val="20"/>
          <w:szCs w:val="20"/>
          <w:color w:val="auto"/>
        </w:rPr>
      </w:pPr>
      <w:r>
        <w:rPr>
          <w:sz w:val="20"/>
          <w:szCs w:val="20"/>
          <w:color w:val="auto"/>
        </w:rPr>
        <w:br w:type="column"/>
      </w:r>
    </w:p>
    <w:p>
      <w:pPr>
        <w:ind w:right="200"/>
        <w:spacing w:after="0" w:line="263" w:lineRule="auto"/>
        <w:rPr>
          <w:sz w:val="20"/>
          <w:szCs w:val="20"/>
          <w:color w:val="auto"/>
        </w:rPr>
      </w:pPr>
      <w:r>
        <w:rPr>
          <w:rFonts w:ascii="Arial" w:cs="Arial" w:eastAsia="Arial" w:hAnsi="Arial"/>
          <w:sz w:val="18"/>
          <w:szCs w:val="18"/>
          <w:color w:val="auto"/>
        </w:rPr>
        <w:t>An individual who has created an account on the NerdWallet platform. The registered user metric is a standalone metric calculated independently from whether an individual accesses our platform in a given period.</w:t>
      </w:r>
    </w:p>
    <w:p>
      <w:pPr>
        <w:sectPr>
          <w:pgSz w:w="11900" w:h="16838" w:orient="portrait"/>
          <w:cols w:equalWidth="0" w:num="2">
            <w:col w:w="2760" w:space="720"/>
            <w:col w:w="7680"/>
          </w:cols>
          <w:pgMar w:left="340" w:top="1440" w:right="399" w:bottom="1440" w:gutter="0" w:footer="0" w:header="0"/>
          <w:type w:val="continuous"/>
        </w:sectPr>
      </w:pPr>
    </w:p>
    <w:bookmarkStart w:id="7" w:name="page8"/>
    <w:bookmarkEnd w:id="7"/>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80" w:type="dxa"/>
            <w:vAlign w:val="bottom"/>
            <w:gridSpan w:val="21"/>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40" w:type="dxa"/>
            <w:vAlign w:val="bottom"/>
            <w:gridSpan w:val="19"/>
          </w:tcPr>
          <w:p>
            <w:pPr>
              <w:jc w:val="center"/>
              <w:ind w:right="4360"/>
              <w:spacing w:after="0"/>
              <w:rPr>
                <w:sz w:val="20"/>
                <w:szCs w:val="20"/>
                <w:color w:val="auto"/>
              </w:rPr>
            </w:pPr>
            <w:r>
              <w:rPr>
                <w:rFonts w:ascii="Arial" w:cs="Arial" w:eastAsia="Arial" w:hAnsi="Arial"/>
                <w:sz w:val="18"/>
                <w:szCs w:val="18"/>
                <w:b w:val="1"/>
                <w:bCs w:val="1"/>
                <w:color w:val="auto"/>
                <w:w w:val="96"/>
              </w:rPr>
              <w:t>PROSPECTUS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100" w:type="dxa"/>
            <w:vAlign w:val="bottom"/>
            <w:gridSpan w:val="8"/>
          </w:tcPr>
          <w:p>
            <w:pPr>
              <w:spacing w:after="0"/>
              <w:rPr>
                <w:rFonts w:ascii="Arial" w:cs="Arial" w:eastAsia="Arial" w:hAnsi="Arial"/>
                <w:sz w:val="18"/>
                <w:szCs w:val="18"/>
                <w:color w:val="0000FF"/>
                <w:w w:val="94"/>
              </w:rPr>
            </w:pPr>
            <w:hyperlink w:anchor="page8">
              <w:r>
                <w:rPr>
                  <w:rFonts w:ascii="Arial" w:cs="Arial" w:eastAsia="Arial" w:hAnsi="Arial"/>
                  <w:sz w:val="18"/>
                  <w:szCs w:val="18"/>
                  <w:color w:val="0000FF"/>
                  <w:w w:val="94"/>
                </w:rPr>
                <w:t>PROSPECTUS SUMMARY</w:t>
              </w:r>
            </w:hyperlink>
          </w:p>
        </w:tc>
        <w:tc>
          <w:tcPr>
            <w:tcW w:w="8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6"/>
          </w:tcPr>
          <w:p>
            <w:pPr>
              <w:jc w:val="right"/>
              <w:ind w:right="400"/>
              <w:spacing w:after="0"/>
              <w:rPr>
                <w:rFonts w:ascii="Arial" w:cs="Arial" w:eastAsia="Arial" w:hAnsi="Arial"/>
                <w:sz w:val="18"/>
                <w:szCs w:val="18"/>
                <w:color w:val="0000FF"/>
              </w:rPr>
            </w:pPr>
            <w:hyperlink w:anchor="page8">
              <w:r>
                <w:rPr>
                  <w:rFonts w:ascii="Arial" w:cs="Arial" w:eastAsia="Arial" w:hAnsi="Arial"/>
                  <w:sz w:val="18"/>
                  <w:szCs w:val="18"/>
                  <w:color w:val="0000FF"/>
                </w:rPr>
                <w:t>1</w:t>
              </w:r>
            </w:hyperlink>
          </w:p>
        </w:tc>
        <w:tc>
          <w:tcPr>
            <w:tcW w:w="5060" w:type="dxa"/>
            <w:vAlign w:val="bottom"/>
            <w:gridSpan w:val="16"/>
          </w:tcPr>
          <w:p>
            <w:pPr>
              <w:ind w:left="400"/>
              <w:spacing w:after="0"/>
              <w:rPr>
                <w:rFonts w:ascii="Arial" w:cs="Arial" w:eastAsia="Arial" w:hAnsi="Arial"/>
                <w:sz w:val="18"/>
                <w:szCs w:val="18"/>
                <w:color w:val="0000FF"/>
              </w:rPr>
            </w:pPr>
            <w:hyperlink w:anchor="page114">
              <w:r>
                <w:rPr>
                  <w:rFonts w:ascii="Arial" w:cs="Arial" w:eastAsia="Arial" w:hAnsi="Arial"/>
                  <w:sz w:val="18"/>
                  <w:szCs w:val="18"/>
                  <w:color w:val="0000FF"/>
                </w:rPr>
                <w:t>DESCRIPTION OF CAPITAL STOCK</w:t>
              </w:r>
            </w:hyperlink>
          </w:p>
        </w:tc>
        <w:tc>
          <w:tcPr>
            <w:tcW w:w="620" w:type="dxa"/>
            <w:vAlign w:val="bottom"/>
            <w:gridSpan w:val="3"/>
          </w:tcPr>
          <w:p>
            <w:pPr>
              <w:ind w:left="220"/>
              <w:spacing w:after="0"/>
              <w:rPr>
                <w:rFonts w:ascii="Arial" w:cs="Arial" w:eastAsia="Arial" w:hAnsi="Arial"/>
                <w:sz w:val="18"/>
                <w:szCs w:val="18"/>
                <w:color w:val="0000FF"/>
              </w:rPr>
            </w:pPr>
            <w:hyperlink w:anchor="page114">
              <w:r>
                <w:rPr>
                  <w:rFonts w:ascii="Arial" w:cs="Arial" w:eastAsia="Arial" w:hAnsi="Arial"/>
                  <w:sz w:val="18"/>
                  <w:szCs w:val="18"/>
                  <w:color w:val="0000FF"/>
                </w:rPr>
                <w:t>107</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FF"/>
                <w:w w:val="93"/>
              </w:rPr>
            </w:pPr>
            <w:hyperlink w:anchor="page21">
              <w:r>
                <w:rPr>
                  <w:rFonts w:ascii="Arial" w:cs="Arial" w:eastAsia="Arial" w:hAnsi="Arial"/>
                  <w:sz w:val="18"/>
                  <w:szCs w:val="18"/>
                  <w:color w:val="0000FF"/>
                  <w:w w:val="93"/>
                </w:rPr>
                <w:t>RISK FACTORS</w:t>
              </w:r>
            </w:hyperlink>
          </w:p>
        </w:tc>
        <w:tc>
          <w:tcPr>
            <w:tcW w:w="840" w:type="dxa"/>
            <w:vAlign w:val="bottom"/>
            <w:gridSpan w:val="5"/>
          </w:tcPr>
          <w:p>
            <w:pPr>
              <w:spacing w:after="0"/>
              <w:rPr>
                <w:sz w:val="21"/>
                <w:szCs w:val="21"/>
                <w:color w:val="auto"/>
              </w:rPr>
            </w:pPr>
          </w:p>
        </w:tc>
        <w:tc>
          <w:tcPr>
            <w:tcW w:w="800" w:type="dxa"/>
            <w:vAlign w:val="bottom"/>
            <w:gridSpan w:val="2"/>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3"/>
          </w:tcPr>
          <w:p>
            <w:pPr>
              <w:spacing w:after="0"/>
              <w:rPr>
                <w:sz w:val="21"/>
                <w:szCs w:val="21"/>
                <w:color w:val="auto"/>
              </w:rPr>
            </w:pPr>
          </w:p>
        </w:tc>
        <w:tc>
          <w:tcPr>
            <w:tcW w:w="580" w:type="dxa"/>
            <w:vAlign w:val="bottom"/>
            <w:gridSpan w:val="3"/>
          </w:tcPr>
          <w:p>
            <w:pPr>
              <w:jc w:val="right"/>
              <w:ind w:right="400"/>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14</w:t>
              </w:r>
            </w:hyperlink>
          </w:p>
        </w:tc>
        <w:tc>
          <w:tcPr>
            <w:tcW w:w="5060" w:type="dxa"/>
            <w:vAlign w:val="bottom"/>
            <w:gridSpan w:val="16"/>
          </w:tcPr>
          <w:p>
            <w:pPr>
              <w:ind w:left="400"/>
              <w:spacing w:after="0"/>
              <w:rPr>
                <w:rFonts w:ascii="Arial" w:cs="Arial" w:eastAsia="Arial" w:hAnsi="Arial"/>
                <w:sz w:val="18"/>
                <w:szCs w:val="18"/>
                <w:color w:val="0000FF"/>
              </w:rPr>
            </w:pPr>
            <w:hyperlink w:anchor="page122">
              <w:r>
                <w:rPr>
                  <w:rFonts w:ascii="Arial" w:cs="Arial" w:eastAsia="Arial" w:hAnsi="Arial"/>
                  <w:sz w:val="18"/>
                  <w:szCs w:val="18"/>
                  <w:color w:val="0000FF"/>
                </w:rPr>
                <w:t>SHARES ELIGIBLE FOR FUTURE SALE</w:t>
              </w:r>
            </w:hyperlink>
          </w:p>
        </w:tc>
        <w:tc>
          <w:tcPr>
            <w:tcW w:w="620" w:type="dxa"/>
            <w:vAlign w:val="bottom"/>
            <w:gridSpan w:val="3"/>
          </w:tcPr>
          <w:p>
            <w:pPr>
              <w:ind w:left="220"/>
              <w:spacing w:after="0"/>
              <w:rPr>
                <w:rFonts w:ascii="Arial" w:cs="Arial" w:eastAsia="Arial" w:hAnsi="Arial"/>
                <w:sz w:val="18"/>
                <w:szCs w:val="18"/>
                <w:color w:val="0000FF"/>
              </w:rPr>
            </w:pPr>
            <w:hyperlink w:anchor="page122">
              <w:r>
                <w:rPr>
                  <w:rFonts w:ascii="Arial" w:cs="Arial" w:eastAsia="Arial" w:hAnsi="Arial"/>
                  <w:sz w:val="18"/>
                  <w:szCs w:val="18"/>
                  <w:color w:val="0000FF"/>
                </w:rPr>
                <w:t>115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gridSpan w:val="12"/>
          </w:tcPr>
          <w:p>
            <w:pPr>
              <w:spacing w:after="0"/>
              <w:rPr>
                <w:rFonts w:ascii="Arial" w:cs="Arial" w:eastAsia="Arial" w:hAnsi="Arial"/>
                <w:sz w:val="18"/>
                <w:szCs w:val="18"/>
                <w:color w:val="0000FF"/>
                <w:w w:val="96"/>
              </w:rPr>
            </w:pPr>
            <w:hyperlink w:anchor="page49">
              <w:r>
                <w:rPr>
                  <w:rFonts w:ascii="Arial" w:cs="Arial" w:eastAsia="Arial" w:hAnsi="Arial"/>
                  <w:sz w:val="18"/>
                  <w:szCs w:val="18"/>
                  <w:color w:val="0000FF"/>
                  <w:w w:val="96"/>
                </w:rPr>
                <w:t>SPECIAL NOTE REGARDING FORWARD-LOOKING</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60" w:type="dxa"/>
            <w:vAlign w:val="bottom"/>
            <w:gridSpan w:val="15"/>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EXECUTIVE COMPENSATION</w:t>
              </w:r>
            </w:hyperlink>
          </w:p>
        </w:tc>
        <w:tc>
          <w:tcPr>
            <w:tcW w:w="620" w:type="dxa"/>
            <w:vAlign w:val="bottom"/>
            <w:gridSpan w:val="3"/>
          </w:tcPr>
          <w:p>
            <w:pPr>
              <w:ind w:left="220"/>
              <w:spacing w:after="0"/>
              <w:rPr>
                <w:rFonts w:ascii="Arial" w:cs="Arial" w:eastAsia="Arial" w:hAnsi="Arial"/>
                <w:sz w:val="18"/>
                <w:szCs w:val="18"/>
                <w:color w:val="0000FF"/>
              </w:rPr>
            </w:pPr>
            <w:hyperlink w:anchor="page125">
              <w:r>
                <w:rPr>
                  <w:rFonts w:ascii="Arial" w:cs="Arial" w:eastAsia="Arial" w:hAnsi="Arial"/>
                  <w:sz w:val="18"/>
                  <w:szCs w:val="18"/>
                  <w:color w:val="0000FF"/>
                </w:rPr>
                <w:t>118</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140" w:type="dxa"/>
            <w:vAlign w:val="bottom"/>
            <w:tcBorders>
              <w:bottom w:val="single" w:sz="8" w:color="0000FF"/>
            </w:tcBorders>
            <w:gridSpan w:val="3"/>
          </w:tcPr>
          <w:p>
            <w:pPr>
              <w:spacing w:after="0" w:line="182" w:lineRule="exact"/>
              <w:rPr>
                <w:rFonts w:ascii="Arial" w:cs="Arial" w:eastAsia="Arial" w:hAnsi="Arial"/>
                <w:sz w:val="18"/>
                <w:szCs w:val="18"/>
                <w:color w:val="0000FF"/>
                <w:w w:val="92"/>
              </w:rPr>
            </w:pPr>
            <w:hyperlink w:anchor="page49">
              <w:r>
                <w:rPr>
                  <w:rFonts w:ascii="Arial" w:cs="Arial" w:eastAsia="Arial" w:hAnsi="Arial"/>
                  <w:sz w:val="18"/>
                  <w:szCs w:val="18"/>
                  <w:color w:val="0000FF"/>
                  <w:w w:val="92"/>
                </w:rPr>
                <w:t>STATEMENTS</w:t>
              </w:r>
            </w:hyperlink>
          </w:p>
        </w:tc>
        <w:tc>
          <w:tcPr>
            <w:tcW w:w="20" w:type="dxa"/>
            <w:vAlign w:val="bottom"/>
            <w:vMerge w:val="restart"/>
          </w:tcPr>
          <w:p>
            <w:pPr>
              <w:spacing w:after="0"/>
              <w:rPr>
                <w:sz w:val="17"/>
                <w:szCs w:val="17"/>
                <w:color w:val="auto"/>
              </w:rPr>
            </w:pPr>
          </w:p>
        </w:tc>
        <w:tc>
          <w:tcPr>
            <w:tcW w:w="14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1080" w:type="dxa"/>
            <w:vAlign w:val="bottom"/>
            <w:gridSpan w:val="2"/>
            <w:vMerge w:val="restart"/>
          </w:tcPr>
          <w:p>
            <w:pPr>
              <w:spacing w:after="0"/>
              <w:rPr>
                <w:sz w:val="17"/>
                <w:szCs w:val="17"/>
                <w:color w:val="auto"/>
              </w:rPr>
            </w:pPr>
          </w:p>
        </w:tc>
        <w:tc>
          <w:tcPr>
            <w:tcW w:w="24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vMerge w:val="restart"/>
          </w:tcPr>
          <w:p>
            <w:pPr>
              <w:spacing w:after="0"/>
              <w:rPr>
                <w:sz w:val="17"/>
                <w:szCs w:val="17"/>
                <w:color w:val="auto"/>
              </w:rPr>
            </w:pPr>
          </w:p>
        </w:tc>
        <w:tc>
          <w:tcPr>
            <w:tcW w:w="46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180" w:type="dxa"/>
            <w:vAlign w:val="bottom"/>
            <w:tcBorders>
              <w:bottom w:val="single" w:sz="8" w:color="0000FF"/>
            </w:tcBorders>
            <w:gridSpan w:val="2"/>
          </w:tcPr>
          <w:p>
            <w:pPr>
              <w:jc w:val="right"/>
              <w:spacing w:after="0" w:line="182"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42</w:t>
              </w:r>
            </w:hyperlink>
          </w:p>
        </w:tc>
        <w:tc>
          <w:tcPr>
            <w:tcW w:w="400" w:type="dxa"/>
            <w:vAlign w:val="bottom"/>
            <w:vMerge w:val="restart"/>
          </w:tcPr>
          <w:p>
            <w:pPr>
              <w:spacing w:after="0"/>
              <w:rPr>
                <w:sz w:val="17"/>
                <w:szCs w:val="17"/>
                <w:color w:val="auto"/>
              </w:rPr>
            </w:pPr>
          </w:p>
        </w:tc>
        <w:tc>
          <w:tcPr>
            <w:tcW w:w="400" w:type="dxa"/>
            <w:vAlign w:val="bottom"/>
            <w:vMerge w:val="restart"/>
          </w:tcPr>
          <w:p>
            <w:pPr>
              <w:spacing w:after="0"/>
              <w:rPr>
                <w:sz w:val="17"/>
                <w:szCs w:val="17"/>
                <w:color w:val="auto"/>
              </w:rPr>
            </w:pPr>
          </w:p>
        </w:tc>
        <w:tc>
          <w:tcPr>
            <w:tcW w:w="4060" w:type="dxa"/>
            <w:vAlign w:val="bottom"/>
            <w:gridSpan w:val="12"/>
            <w:vMerge w:val="restart"/>
          </w:tcPr>
          <w:p>
            <w:pPr>
              <w:spacing w:after="0"/>
              <w:rPr>
                <w:rFonts w:ascii="Arial" w:cs="Arial" w:eastAsia="Arial" w:hAnsi="Arial"/>
                <w:sz w:val="18"/>
                <w:szCs w:val="18"/>
                <w:color w:val="0000FF"/>
                <w:w w:val="95"/>
              </w:rPr>
            </w:pPr>
            <w:hyperlink w:anchor="page138">
              <w:r>
                <w:rPr>
                  <w:rFonts w:ascii="Arial" w:cs="Arial" w:eastAsia="Arial" w:hAnsi="Arial"/>
                  <w:sz w:val="18"/>
                  <w:szCs w:val="18"/>
                  <w:color w:val="0000FF"/>
                  <w:w w:val="95"/>
                </w:rPr>
                <w:t>CERTAIN RELATIONSHIPS AND RELATED PARTY</w:t>
              </w:r>
            </w:hyperlink>
          </w:p>
        </w:tc>
        <w:tc>
          <w:tcPr>
            <w:tcW w:w="600" w:type="dxa"/>
            <w:vAlign w:val="bottom"/>
            <w:gridSpan w:val="3"/>
            <w:vMerge w:val="restart"/>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80" w:type="dxa"/>
            <w:vAlign w:val="bottom"/>
            <w:gridSpan w:val="2"/>
          </w:tcPr>
          <w:p>
            <w:pPr>
              <w:spacing w:after="0"/>
              <w:rPr>
                <w:sz w:val="2"/>
                <w:szCs w:val="2"/>
                <w:color w:val="auto"/>
              </w:rPr>
            </w:pPr>
          </w:p>
        </w:tc>
        <w:tc>
          <w:tcPr>
            <w:tcW w:w="40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4060" w:type="dxa"/>
            <w:vAlign w:val="bottom"/>
            <w:tcBorders>
              <w:bottom w:val="single" w:sz="8" w:color="0000FF"/>
            </w:tcBorders>
            <w:gridSpan w:val="12"/>
            <w:vMerge w:val="continue"/>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60" w:type="dxa"/>
            <w:vAlign w:val="bottom"/>
            <w:gridSpan w:val="9"/>
          </w:tcPr>
          <w:p>
            <w:pPr>
              <w:spacing w:after="0" w:line="196" w:lineRule="exact"/>
              <w:rPr>
                <w:rFonts w:ascii="Arial" w:cs="Arial" w:eastAsia="Arial" w:hAnsi="Arial"/>
                <w:sz w:val="18"/>
                <w:szCs w:val="18"/>
                <w:color w:val="0000FF"/>
                <w:w w:val="98"/>
              </w:rPr>
            </w:pPr>
            <w:hyperlink w:anchor="page51">
              <w:r>
                <w:rPr>
                  <w:rFonts w:ascii="Arial" w:cs="Arial" w:eastAsia="Arial" w:hAnsi="Arial"/>
                  <w:sz w:val="18"/>
                  <w:szCs w:val="18"/>
                  <w:color w:val="0000FF"/>
                  <w:w w:val="98"/>
                </w:rPr>
                <w:t>MARKET AND INDUSTRY DATA</w:t>
              </w:r>
            </w:hyperlink>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spacing w:after="0"/>
              <w:rPr>
                <w:sz w:val="17"/>
                <w:szCs w:val="17"/>
                <w:color w:val="auto"/>
              </w:rPr>
            </w:pPr>
          </w:p>
        </w:tc>
        <w:tc>
          <w:tcPr>
            <w:tcW w:w="580" w:type="dxa"/>
            <w:vAlign w:val="bottom"/>
            <w:gridSpan w:val="3"/>
          </w:tcPr>
          <w:p>
            <w:pPr>
              <w:jc w:val="right"/>
              <w:ind w:right="400"/>
              <w:spacing w:after="0" w:line="196"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44</w:t>
              </w:r>
            </w:hyperlink>
          </w:p>
        </w:tc>
        <w:tc>
          <w:tcPr>
            <w:tcW w:w="400" w:type="dxa"/>
            <w:vAlign w:val="bottom"/>
          </w:tcPr>
          <w:p>
            <w:pPr>
              <w:spacing w:after="0"/>
              <w:rPr>
                <w:sz w:val="17"/>
                <w:szCs w:val="17"/>
                <w:color w:val="auto"/>
              </w:rPr>
            </w:pPr>
          </w:p>
        </w:tc>
        <w:tc>
          <w:tcPr>
            <w:tcW w:w="4660" w:type="dxa"/>
            <w:vAlign w:val="bottom"/>
            <w:gridSpan w:val="15"/>
          </w:tcPr>
          <w:p>
            <w:pPr>
              <w:ind w:left="160"/>
              <w:spacing w:after="0" w:line="196" w:lineRule="exact"/>
              <w:rPr>
                <w:rFonts w:ascii="Arial" w:cs="Arial" w:eastAsia="Arial" w:hAnsi="Arial"/>
                <w:sz w:val="18"/>
                <w:szCs w:val="18"/>
                <w:color w:val="0000FF"/>
              </w:rPr>
            </w:pPr>
            <w:hyperlink w:anchor="page138">
              <w:r>
                <w:rPr>
                  <w:rFonts w:ascii="Arial" w:cs="Arial" w:eastAsia="Arial" w:hAnsi="Arial"/>
                  <w:sz w:val="18"/>
                  <w:szCs w:val="18"/>
                  <w:color w:val="0000FF"/>
                </w:rPr>
                <w:t>TRANSACTIONS</w:t>
              </w:r>
            </w:hyperlink>
          </w:p>
        </w:tc>
        <w:tc>
          <w:tcPr>
            <w:tcW w:w="620" w:type="dxa"/>
            <w:vAlign w:val="bottom"/>
            <w:gridSpan w:val="3"/>
          </w:tcPr>
          <w:p>
            <w:pPr>
              <w:ind w:left="220"/>
              <w:spacing w:after="0" w:line="196" w:lineRule="exact"/>
              <w:rPr>
                <w:rFonts w:ascii="Arial" w:cs="Arial" w:eastAsia="Arial" w:hAnsi="Arial"/>
                <w:sz w:val="18"/>
                <w:szCs w:val="18"/>
                <w:color w:val="0000FF"/>
              </w:rPr>
            </w:pPr>
            <w:hyperlink w:anchor="page138">
              <w:r>
                <w:rPr>
                  <w:rFonts w:ascii="Arial" w:cs="Arial" w:eastAsia="Arial" w:hAnsi="Arial"/>
                  <w:sz w:val="18"/>
                  <w:szCs w:val="18"/>
                  <w:color w:val="0000FF"/>
                </w:rPr>
                <w:t>131</w:t>
              </w:r>
            </w:hyperlink>
          </w:p>
        </w:tc>
        <w:tc>
          <w:tcPr>
            <w:tcW w:w="0" w:type="dxa"/>
            <w:vAlign w:val="bottom"/>
          </w:tcPr>
          <w:p>
            <w:pPr>
              <w:spacing w:after="0"/>
              <w:rPr>
                <w:sz w:val="1"/>
                <w:szCs w:val="1"/>
                <w:color w:val="auto"/>
              </w:rPr>
            </w:pPr>
          </w:p>
        </w:tc>
      </w:tr>
      <w:tr>
        <w:trPr>
          <w:trHeight w:val="20"/>
        </w:trPr>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7"/>
          </w:tcPr>
          <w:p>
            <w:pPr>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USE OF PROCEEDS</w:t>
              </w:r>
            </w:hyperlink>
          </w:p>
        </w:tc>
        <w:tc>
          <w:tcPr>
            <w:tcW w:w="108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3"/>
          </w:tcPr>
          <w:p>
            <w:pPr>
              <w:spacing w:after="0"/>
              <w:rPr>
                <w:sz w:val="21"/>
                <w:szCs w:val="21"/>
                <w:color w:val="auto"/>
              </w:rPr>
            </w:pPr>
          </w:p>
        </w:tc>
        <w:tc>
          <w:tcPr>
            <w:tcW w:w="580" w:type="dxa"/>
            <w:vAlign w:val="bottom"/>
            <w:gridSpan w:val="3"/>
          </w:tcPr>
          <w:p>
            <w:pPr>
              <w:jc w:val="right"/>
              <w:ind w:right="400"/>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45</w:t>
              </w:r>
            </w:hyperlink>
          </w:p>
        </w:tc>
        <w:tc>
          <w:tcPr>
            <w:tcW w:w="5060" w:type="dxa"/>
            <w:vAlign w:val="bottom"/>
            <w:gridSpan w:val="16"/>
          </w:tcPr>
          <w:p>
            <w:pPr>
              <w:ind w:left="400"/>
              <w:spacing w:after="0"/>
              <w:rPr>
                <w:rFonts w:ascii="Arial" w:cs="Arial" w:eastAsia="Arial" w:hAnsi="Arial"/>
                <w:sz w:val="18"/>
                <w:szCs w:val="18"/>
                <w:color w:val="0000FF"/>
              </w:rPr>
            </w:pPr>
            <w:hyperlink w:anchor="page141">
              <w:r>
                <w:rPr>
                  <w:rFonts w:ascii="Arial" w:cs="Arial" w:eastAsia="Arial" w:hAnsi="Arial"/>
                  <w:sz w:val="18"/>
                  <w:szCs w:val="18"/>
                  <w:color w:val="0000FF"/>
                </w:rPr>
                <w:t>PRINCIPAL STOCKHOLDERS</w:t>
              </w:r>
            </w:hyperlink>
          </w:p>
        </w:tc>
        <w:tc>
          <w:tcPr>
            <w:tcW w:w="620" w:type="dxa"/>
            <w:vAlign w:val="bottom"/>
            <w:gridSpan w:val="3"/>
          </w:tcPr>
          <w:p>
            <w:pPr>
              <w:ind w:left="220"/>
              <w:spacing w:after="0"/>
              <w:rPr>
                <w:rFonts w:ascii="Arial" w:cs="Arial" w:eastAsia="Arial" w:hAnsi="Arial"/>
                <w:sz w:val="18"/>
                <w:szCs w:val="18"/>
                <w:color w:val="0000FF"/>
              </w:rPr>
            </w:pPr>
            <w:hyperlink w:anchor="page141">
              <w:r>
                <w:rPr>
                  <w:rFonts w:ascii="Arial" w:cs="Arial" w:eastAsia="Arial" w:hAnsi="Arial"/>
                  <w:sz w:val="18"/>
                  <w:szCs w:val="18"/>
                  <w:color w:val="0000FF"/>
                </w:rPr>
                <w:t>134</w:t>
              </w:r>
            </w:hyperlink>
          </w:p>
        </w:tc>
        <w:tc>
          <w:tcPr>
            <w:tcW w:w="0" w:type="dxa"/>
            <w:vAlign w:val="bottom"/>
          </w:tcPr>
          <w:p>
            <w:pPr>
              <w:spacing w:after="0"/>
              <w:rPr>
                <w:sz w:val="1"/>
                <w:szCs w:val="1"/>
                <w:color w:val="auto"/>
              </w:rPr>
            </w:pPr>
          </w:p>
        </w:tc>
      </w:tr>
      <w:tr>
        <w:trPr>
          <w:trHeight w:val="20"/>
        </w:trPr>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7"/>
          </w:tcPr>
          <w:p>
            <w:pPr>
              <w:spacing w:after="0"/>
              <w:rPr>
                <w:rFonts w:ascii="Arial" w:cs="Arial" w:eastAsia="Arial" w:hAnsi="Arial"/>
                <w:sz w:val="18"/>
                <w:szCs w:val="18"/>
                <w:color w:val="0000FF"/>
                <w:w w:val="98"/>
              </w:rPr>
            </w:pPr>
            <w:hyperlink w:anchor="page53">
              <w:r>
                <w:rPr>
                  <w:rFonts w:ascii="Arial" w:cs="Arial" w:eastAsia="Arial" w:hAnsi="Arial"/>
                  <w:sz w:val="18"/>
                  <w:szCs w:val="18"/>
                  <w:color w:val="0000FF"/>
                  <w:w w:val="98"/>
                </w:rPr>
                <w:t>DIVIDEND POLICY</w:t>
              </w:r>
            </w:hyperlink>
          </w:p>
        </w:tc>
        <w:tc>
          <w:tcPr>
            <w:tcW w:w="1320" w:type="dxa"/>
            <w:vAlign w:val="bottom"/>
            <w:gridSpan w:val="3"/>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3"/>
          </w:tcPr>
          <w:p>
            <w:pPr>
              <w:spacing w:after="0"/>
              <w:rPr>
                <w:sz w:val="21"/>
                <w:szCs w:val="21"/>
                <w:color w:val="auto"/>
              </w:rPr>
            </w:pPr>
          </w:p>
        </w:tc>
        <w:tc>
          <w:tcPr>
            <w:tcW w:w="580" w:type="dxa"/>
            <w:vAlign w:val="bottom"/>
            <w:gridSpan w:val="3"/>
          </w:tcPr>
          <w:p>
            <w:pPr>
              <w:jc w:val="right"/>
              <w:ind w:right="400"/>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46</w:t>
              </w:r>
            </w:hyperlink>
          </w:p>
        </w:tc>
        <w:tc>
          <w:tcPr>
            <w:tcW w:w="5060" w:type="dxa"/>
            <w:vAlign w:val="bottom"/>
            <w:gridSpan w:val="16"/>
          </w:tcPr>
          <w:p>
            <w:pPr>
              <w:ind w:left="400"/>
              <w:spacing w:after="0"/>
              <w:rPr>
                <w:rFonts w:ascii="Arial" w:cs="Arial" w:eastAsia="Arial" w:hAnsi="Arial"/>
                <w:sz w:val="18"/>
                <w:szCs w:val="18"/>
                <w:color w:val="0000FF"/>
              </w:rPr>
            </w:pPr>
            <w:hyperlink w:anchor="page144">
              <w:r>
                <w:rPr>
                  <w:rFonts w:ascii="Arial" w:cs="Arial" w:eastAsia="Arial" w:hAnsi="Arial"/>
                  <w:sz w:val="18"/>
                  <w:szCs w:val="18"/>
                  <w:color w:val="0000FF"/>
                </w:rPr>
                <w:t>MATERIAL UNITED STATES FEDERAL INCOME TAX</w:t>
              </w:r>
            </w:hyperlink>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580" w:type="dxa"/>
            <w:vAlign w:val="bottom"/>
            <w:gridSpan w:val="7"/>
            <w:vMerge w:val="restart"/>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CAPITALIZATION</w:t>
              </w:r>
            </w:hyperlink>
          </w:p>
        </w:tc>
        <w:tc>
          <w:tcPr>
            <w:tcW w:w="1320" w:type="dxa"/>
            <w:vAlign w:val="bottom"/>
            <w:gridSpan w:val="3"/>
            <w:vMerge w:val="restart"/>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vMerge w:val="restart"/>
          </w:tcPr>
          <w:p>
            <w:pPr>
              <w:spacing w:after="0"/>
              <w:rPr>
                <w:sz w:val="18"/>
                <w:szCs w:val="18"/>
                <w:color w:val="auto"/>
              </w:rPr>
            </w:pPr>
          </w:p>
        </w:tc>
        <w:tc>
          <w:tcPr>
            <w:tcW w:w="580" w:type="dxa"/>
            <w:vAlign w:val="bottom"/>
            <w:gridSpan w:val="3"/>
            <w:vMerge w:val="restart"/>
          </w:tcPr>
          <w:p>
            <w:pPr>
              <w:jc w:val="right"/>
              <w:ind w:right="400"/>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47</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tcBorders>
              <w:bottom w:val="single" w:sz="8" w:color="0000FF"/>
            </w:tcBorders>
            <w:gridSpan w:val="9"/>
          </w:tcPr>
          <w:p>
            <w:pPr>
              <w:spacing w:after="0" w:line="182" w:lineRule="exact"/>
              <w:rPr>
                <w:rFonts w:ascii="Arial" w:cs="Arial" w:eastAsia="Arial" w:hAnsi="Arial"/>
                <w:sz w:val="18"/>
                <w:szCs w:val="18"/>
                <w:color w:val="0000FF"/>
                <w:w w:val="93"/>
              </w:rPr>
            </w:pPr>
            <w:hyperlink w:anchor="page144">
              <w:r>
                <w:rPr>
                  <w:rFonts w:ascii="Arial" w:cs="Arial" w:eastAsia="Arial" w:hAnsi="Arial"/>
                  <w:sz w:val="18"/>
                  <w:szCs w:val="18"/>
                  <w:color w:val="0000FF"/>
                  <w:w w:val="93"/>
                </w:rPr>
                <w:t>CONSEQUENCES TO NON-US HOLDERS</w:t>
              </w:r>
            </w:hyperlink>
          </w:p>
        </w:tc>
        <w:tc>
          <w:tcPr>
            <w:tcW w:w="36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240" w:type="dxa"/>
            <w:vAlign w:val="bottom"/>
            <w:tcBorders>
              <w:bottom w:val="single" w:sz="8" w:color="0000FF"/>
            </w:tcBorders>
          </w:tcPr>
          <w:p>
            <w:pPr>
              <w:spacing w:after="0" w:line="182" w:lineRule="exact"/>
              <w:rPr>
                <w:rFonts w:ascii="Arial" w:cs="Arial" w:eastAsia="Arial" w:hAnsi="Arial"/>
                <w:sz w:val="18"/>
                <w:szCs w:val="18"/>
                <w:color w:val="0000FF"/>
                <w:w w:val="73"/>
              </w:rPr>
            </w:pPr>
            <w:hyperlink w:anchor="page144">
              <w:r>
                <w:rPr>
                  <w:rFonts w:ascii="Arial" w:cs="Arial" w:eastAsia="Arial" w:hAnsi="Arial"/>
                  <w:sz w:val="18"/>
                  <w:szCs w:val="18"/>
                  <w:color w:val="0000FF"/>
                  <w:w w:val="73"/>
                </w:rPr>
                <w:t>137</w:t>
              </w:r>
            </w:hyperlink>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gridSpan w:val="7"/>
            <w:vMerge w:val="continue"/>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58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4"/>
            <w:vMerge w:val="restart"/>
          </w:tcPr>
          <w:p>
            <w:pPr>
              <w:spacing w:after="0"/>
              <w:rPr>
                <w:rFonts w:ascii="Arial" w:cs="Arial" w:eastAsia="Arial" w:hAnsi="Arial"/>
                <w:sz w:val="18"/>
                <w:szCs w:val="18"/>
                <w:color w:val="0000FF"/>
                <w:w w:val="93"/>
              </w:rPr>
            </w:pPr>
            <w:hyperlink w:anchor="page149">
              <w:r>
                <w:rPr>
                  <w:rFonts w:ascii="Arial" w:cs="Arial" w:eastAsia="Arial" w:hAnsi="Arial"/>
                  <w:sz w:val="18"/>
                  <w:szCs w:val="18"/>
                  <w:color w:val="0000FF"/>
                  <w:w w:val="93"/>
                </w:rPr>
                <w:t>UNDERWRITERS</w:t>
              </w:r>
            </w:hyperlink>
          </w:p>
        </w:tc>
        <w:tc>
          <w:tcPr>
            <w:tcW w:w="6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40" w:type="dxa"/>
            <w:vAlign w:val="bottom"/>
            <w:vMerge w:val="restart"/>
          </w:tcPr>
          <w:p>
            <w:pPr>
              <w:spacing w:after="0"/>
              <w:rPr>
                <w:rFonts w:ascii="Arial" w:cs="Arial" w:eastAsia="Arial" w:hAnsi="Arial"/>
                <w:sz w:val="18"/>
                <w:szCs w:val="18"/>
                <w:color w:val="0000FF"/>
                <w:w w:val="73"/>
              </w:rPr>
            </w:pPr>
            <w:hyperlink w:anchor="page149">
              <w:r>
                <w:rPr>
                  <w:rFonts w:ascii="Arial" w:cs="Arial" w:eastAsia="Arial" w:hAnsi="Arial"/>
                  <w:sz w:val="18"/>
                  <w:szCs w:val="18"/>
                  <w:color w:val="0000FF"/>
                  <w:w w:val="73"/>
                </w:rPr>
                <w:t>142</w:t>
              </w:r>
            </w:hyperlink>
          </w:p>
        </w:tc>
        <w:tc>
          <w:tcPr>
            <w:tcW w:w="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4"/>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 w:type="dxa"/>
            <w:vAlign w:val="bottom"/>
            <w:gridSpan w:val="2"/>
            <w:vMerge w:val="restart"/>
          </w:tcPr>
          <w:p>
            <w:pPr>
              <w:spacing w:after="0"/>
              <w:rPr>
                <w:rFonts w:ascii="Arial" w:cs="Arial" w:eastAsia="Arial" w:hAnsi="Arial"/>
                <w:sz w:val="18"/>
                <w:szCs w:val="18"/>
                <w:color w:val="0000FF"/>
                <w:w w:val="99"/>
              </w:rPr>
            </w:pPr>
            <w:hyperlink w:anchor="page57">
              <w:r>
                <w:rPr>
                  <w:rFonts w:ascii="Arial" w:cs="Arial" w:eastAsia="Arial" w:hAnsi="Arial"/>
                  <w:sz w:val="18"/>
                  <w:szCs w:val="18"/>
                  <w:color w:val="0000FF"/>
                  <w:w w:val="99"/>
                </w:rPr>
                <w:t>DILUTION</w:t>
              </w:r>
            </w:hyperlink>
          </w:p>
        </w:tc>
        <w:tc>
          <w:tcPr>
            <w:tcW w:w="580" w:type="dxa"/>
            <w:vAlign w:val="bottom"/>
            <w:gridSpan w:val="4"/>
            <w:vMerge w:val="restart"/>
          </w:tcPr>
          <w:p>
            <w:pPr>
              <w:spacing w:after="0"/>
              <w:rPr>
                <w:sz w:val="16"/>
                <w:szCs w:val="16"/>
                <w:color w:val="auto"/>
              </w:rPr>
            </w:pPr>
          </w:p>
        </w:tc>
        <w:tc>
          <w:tcPr>
            <w:tcW w:w="1440" w:type="dxa"/>
            <w:vAlign w:val="bottom"/>
            <w:gridSpan w:val="4"/>
            <w:vMerge w:val="restart"/>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vMerge w:val="restart"/>
          </w:tcPr>
          <w:p>
            <w:pPr>
              <w:spacing w:after="0"/>
              <w:rPr>
                <w:sz w:val="16"/>
                <w:szCs w:val="16"/>
                <w:color w:val="auto"/>
              </w:rPr>
            </w:pPr>
          </w:p>
        </w:tc>
        <w:tc>
          <w:tcPr>
            <w:tcW w:w="580" w:type="dxa"/>
            <w:vAlign w:val="bottom"/>
            <w:gridSpan w:val="3"/>
            <w:vMerge w:val="restart"/>
          </w:tcPr>
          <w:p>
            <w:pPr>
              <w:jc w:val="right"/>
              <w:ind w:right="40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50</w:t>
              </w:r>
            </w:hyperlink>
          </w:p>
        </w:tc>
        <w:tc>
          <w:tcPr>
            <w:tcW w:w="400" w:type="dxa"/>
            <w:vAlign w:val="bottom"/>
            <w:vMerge w:val="restart"/>
          </w:tcPr>
          <w:p>
            <w:pPr>
              <w:spacing w:after="0"/>
              <w:rPr>
                <w:sz w:val="16"/>
                <w:szCs w:val="16"/>
                <w:color w:val="auto"/>
              </w:rPr>
            </w:pPr>
          </w:p>
        </w:tc>
        <w:tc>
          <w:tcPr>
            <w:tcW w:w="1400" w:type="dxa"/>
            <w:vAlign w:val="bottom"/>
            <w:tcBorders>
              <w:bottom w:val="single" w:sz="8" w:color="0000FF"/>
            </w:tcBorders>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2360" w:type="dxa"/>
            <w:vAlign w:val="bottom"/>
            <w:gridSpan w:val="6"/>
            <w:vMerge w:val="restart"/>
          </w:tcPr>
          <w:p>
            <w:pPr>
              <w:spacing w:after="0"/>
              <w:rPr>
                <w:sz w:val="16"/>
                <w:szCs w:val="16"/>
                <w:color w:val="auto"/>
              </w:rPr>
            </w:pPr>
          </w:p>
        </w:tc>
        <w:tc>
          <w:tcPr>
            <w:tcW w:w="640" w:type="dxa"/>
            <w:vAlign w:val="bottom"/>
            <w:gridSpan w:val="3"/>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240" w:type="dxa"/>
            <w:vAlign w:val="bottom"/>
            <w:tcBorders>
              <w:bottom w:val="single" w:sz="8" w:color="0000FF"/>
            </w:tcBorders>
            <w:vMerge w:val="continue"/>
          </w:tcPr>
          <w:p>
            <w:pPr>
              <w:spacing w:after="0"/>
              <w:rPr>
                <w:sz w:val="16"/>
                <w:szCs w:val="16"/>
                <w:color w:val="auto"/>
              </w:rPr>
            </w:pPr>
          </w:p>
        </w:tc>
        <w:tc>
          <w:tcPr>
            <w:tcW w:w="1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80" w:type="dxa"/>
            <w:vAlign w:val="bottom"/>
            <w:gridSpan w:val="2"/>
            <w:vMerge w:val="continue"/>
          </w:tcPr>
          <w:p>
            <w:pPr>
              <w:spacing w:after="0"/>
              <w:rPr>
                <w:sz w:val="2"/>
                <w:szCs w:val="2"/>
                <w:color w:val="auto"/>
              </w:rPr>
            </w:pPr>
          </w:p>
        </w:tc>
        <w:tc>
          <w:tcPr>
            <w:tcW w:w="580" w:type="dxa"/>
            <w:vAlign w:val="bottom"/>
            <w:gridSpan w:val="4"/>
            <w:vMerge w:val="continue"/>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1460" w:type="dxa"/>
            <w:vAlign w:val="bottom"/>
            <w:gridSpan w:val="5"/>
            <w:vMerge w:val="restart"/>
          </w:tcPr>
          <w:p>
            <w:pPr>
              <w:spacing w:after="0"/>
              <w:rPr>
                <w:rFonts w:ascii="Arial" w:cs="Arial" w:eastAsia="Arial" w:hAnsi="Arial"/>
                <w:sz w:val="18"/>
                <w:szCs w:val="18"/>
                <w:color w:val="0000FF"/>
                <w:w w:val="96"/>
              </w:rPr>
            </w:pPr>
            <w:hyperlink w:anchor="page159">
              <w:r>
                <w:rPr>
                  <w:rFonts w:ascii="Arial" w:cs="Arial" w:eastAsia="Arial" w:hAnsi="Arial"/>
                  <w:sz w:val="18"/>
                  <w:szCs w:val="18"/>
                  <w:color w:val="0000FF"/>
                  <w:w w:val="96"/>
                </w:rPr>
                <w:t>LEGAL MATTERS</w:t>
              </w:r>
            </w:hyperlink>
          </w:p>
        </w:tc>
        <w:tc>
          <w:tcPr>
            <w:tcW w:w="2360" w:type="dxa"/>
            <w:vAlign w:val="bottom"/>
            <w:gridSpan w:val="6"/>
            <w:vMerge w:val="continue"/>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240" w:type="dxa"/>
            <w:vAlign w:val="bottom"/>
            <w:vMerge w:val="restart"/>
          </w:tcPr>
          <w:p>
            <w:pPr>
              <w:spacing w:after="0"/>
              <w:rPr>
                <w:rFonts w:ascii="Arial" w:cs="Arial" w:eastAsia="Arial" w:hAnsi="Arial"/>
                <w:sz w:val="18"/>
                <w:szCs w:val="18"/>
                <w:color w:val="0000FF"/>
                <w:w w:val="73"/>
              </w:rPr>
            </w:pPr>
            <w:hyperlink w:anchor="page159">
              <w:r>
                <w:rPr>
                  <w:rFonts w:ascii="Arial" w:cs="Arial" w:eastAsia="Arial" w:hAnsi="Arial"/>
                  <w:sz w:val="18"/>
                  <w:szCs w:val="18"/>
                  <w:color w:val="0000FF"/>
                  <w:w w:val="73"/>
                </w:rPr>
                <w:t>152</w:t>
              </w:r>
            </w:hyperlink>
          </w:p>
        </w:tc>
        <w:tc>
          <w:tcPr>
            <w:tcW w:w="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200" w:type="dxa"/>
            <w:vAlign w:val="bottom"/>
            <w:gridSpan w:val="13"/>
            <w:vMerge w:val="restart"/>
          </w:tcPr>
          <w:p>
            <w:pPr>
              <w:spacing w:after="0"/>
              <w:rPr>
                <w:rFonts w:ascii="Arial" w:cs="Arial" w:eastAsia="Arial" w:hAnsi="Arial"/>
                <w:sz w:val="18"/>
                <w:szCs w:val="18"/>
                <w:color w:val="0000FF"/>
                <w:w w:val="97"/>
              </w:rPr>
            </w:pPr>
            <w:hyperlink w:anchor="page60">
              <w:r>
                <w:rPr>
                  <w:rFonts w:ascii="Arial" w:cs="Arial" w:eastAsia="Arial" w:hAnsi="Arial"/>
                  <w:sz w:val="18"/>
                  <w:szCs w:val="18"/>
                  <w:color w:val="0000FF"/>
                  <w:w w:val="97"/>
                </w:rPr>
                <w:t>MANAGEMENT’S DISCUSSION AND ANALYSIS OF</w:t>
              </w:r>
            </w:hyperlink>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vMerge w:val="restart"/>
          </w:tcPr>
          <w:p>
            <w:pPr>
              <w:spacing w:after="0"/>
              <w:rPr>
                <w:sz w:val="17"/>
                <w:szCs w:val="17"/>
                <w:color w:val="auto"/>
              </w:rPr>
            </w:pPr>
          </w:p>
        </w:tc>
        <w:tc>
          <w:tcPr>
            <w:tcW w:w="1460" w:type="dxa"/>
            <w:vAlign w:val="bottom"/>
            <w:tcBorders>
              <w:bottom w:val="single" w:sz="8" w:color="0000FF"/>
            </w:tcBorders>
            <w:gridSpan w:val="5"/>
            <w:vMerge w:val="continue"/>
          </w:tcPr>
          <w:p>
            <w:pPr>
              <w:spacing w:after="0"/>
              <w:rPr>
                <w:sz w:val="17"/>
                <w:szCs w:val="17"/>
                <w:color w:val="auto"/>
              </w:rPr>
            </w:pPr>
          </w:p>
        </w:tc>
        <w:tc>
          <w:tcPr>
            <w:tcW w:w="2360" w:type="dxa"/>
            <w:vAlign w:val="bottom"/>
            <w:gridSpan w:val="6"/>
            <w:vMerge w:val="restart"/>
          </w:tcPr>
          <w:p>
            <w:pPr>
              <w:spacing w:after="0"/>
              <w:rPr>
                <w:sz w:val="17"/>
                <w:szCs w:val="17"/>
                <w:color w:val="auto"/>
              </w:rPr>
            </w:pPr>
          </w:p>
        </w:tc>
        <w:tc>
          <w:tcPr>
            <w:tcW w:w="640" w:type="dxa"/>
            <w:vAlign w:val="bottom"/>
            <w:gridSpan w:val="3"/>
            <w:vMerge w:val="restart"/>
          </w:tcPr>
          <w:p>
            <w:pPr>
              <w:spacing w:after="0"/>
              <w:rPr>
                <w:sz w:val="17"/>
                <w:szCs w:val="17"/>
                <w:color w:val="auto"/>
              </w:rPr>
            </w:pPr>
          </w:p>
        </w:tc>
        <w:tc>
          <w:tcPr>
            <w:tcW w:w="200" w:type="dxa"/>
            <w:vAlign w:val="bottom"/>
            <w:vMerge w:val="restart"/>
          </w:tcPr>
          <w:p>
            <w:pPr>
              <w:spacing w:after="0"/>
              <w:rPr>
                <w:sz w:val="17"/>
                <w:szCs w:val="17"/>
                <w:color w:val="auto"/>
              </w:rPr>
            </w:pPr>
          </w:p>
        </w:tc>
        <w:tc>
          <w:tcPr>
            <w:tcW w:w="240" w:type="dxa"/>
            <w:vAlign w:val="bottom"/>
            <w:vMerge w:val="restart"/>
          </w:tcPr>
          <w:p>
            <w:pPr>
              <w:spacing w:after="0"/>
              <w:rPr>
                <w:sz w:val="17"/>
                <w:szCs w:val="17"/>
                <w:color w:val="auto"/>
              </w:rPr>
            </w:pPr>
          </w:p>
        </w:tc>
        <w:tc>
          <w:tcPr>
            <w:tcW w:w="240" w:type="dxa"/>
            <w:vAlign w:val="bottom"/>
            <w:tcBorders>
              <w:bottom w:val="single" w:sz="8" w:color="0000FF"/>
            </w:tcBorders>
            <w:vMerge w:val="continue"/>
          </w:tcPr>
          <w:p>
            <w:pPr>
              <w:spacing w:after="0"/>
              <w:rPr>
                <w:sz w:val="17"/>
                <w:szCs w:val="17"/>
                <w:color w:val="auto"/>
              </w:rPr>
            </w:pPr>
          </w:p>
        </w:tc>
        <w:tc>
          <w:tcPr>
            <w:tcW w:w="1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4200" w:type="dxa"/>
            <w:vAlign w:val="bottom"/>
            <w:tcBorders>
              <w:bottom w:val="single" w:sz="8" w:color="0000FF"/>
            </w:tcBorders>
            <w:gridSpan w:val="13"/>
            <w:vMerge w:val="continue"/>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360" w:type="dxa"/>
            <w:vAlign w:val="bottom"/>
            <w:gridSpan w:val="6"/>
            <w:vMerge w:val="continue"/>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540" w:type="dxa"/>
            <w:vAlign w:val="bottom"/>
            <w:gridSpan w:val="10"/>
          </w:tcPr>
          <w:p>
            <w:pPr>
              <w:spacing w:after="0" w:line="196" w:lineRule="exact"/>
              <w:rPr>
                <w:rFonts w:ascii="Arial" w:cs="Arial" w:eastAsia="Arial" w:hAnsi="Arial"/>
                <w:sz w:val="18"/>
                <w:szCs w:val="18"/>
                <w:color w:val="0000FF"/>
                <w:w w:val="97"/>
              </w:rPr>
            </w:pPr>
            <w:hyperlink w:anchor="page60">
              <w:r>
                <w:rPr>
                  <w:rFonts w:ascii="Arial" w:cs="Arial" w:eastAsia="Arial" w:hAnsi="Arial"/>
                  <w:sz w:val="18"/>
                  <w:szCs w:val="18"/>
                  <w:color w:val="0000FF"/>
                  <w:w w:val="97"/>
                </w:rPr>
                <w:t>FINANCIAL CONDITION AND RESULTS OF</w:t>
              </w:r>
            </w:hyperlink>
          </w:p>
        </w:tc>
        <w:tc>
          <w:tcPr>
            <w:tcW w:w="5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spacing w:after="0" w:line="196" w:lineRule="exact"/>
              <w:rPr>
                <w:rFonts w:ascii="Arial" w:cs="Arial" w:eastAsia="Arial" w:hAnsi="Arial"/>
                <w:sz w:val="18"/>
                <w:szCs w:val="18"/>
                <w:color w:val="0000FF"/>
                <w:w w:val="90"/>
              </w:rPr>
            </w:pPr>
            <w:hyperlink w:anchor="page160">
              <w:r>
                <w:rPr>
                  <w:rFonts w:ascii="Arial" w:cs="Arial" w:eastAsia="Arial" w:hAnsi="Arial"/>
                  <w:sz w:val="18"/>
                  <w:szCs w:val="18"/>
                  <w:color w:val="0000FF"/>
                  <w:w w:val="90"/>
                </w:rPr>
                <w:t>EXPERTS</w:t>
              </w:r>
            </w:hyperlink>
          </w:p>
        </w:tc>
        <w:tc>
          <w:tcPr>
            <w:tcW w:w="3880" w:type="dxa"/>
            <w:vAlign w:val="bottom"/>
            <w:gridSpan w:val="13"/>
          </w:tcPr>
          <w:p>
            <w:pPr>
              <w:spacing w:after="0"/>
              <w:rPr>
                <w:sz w:val="17"/>
                <w:szCs w:val="17"/>
                <w:color w:val="auto"/>
              </w:rPr>
            </w:pPr>
          </w:p>
        </w:tc>
        <w:tc>
          <w:tcPr>
            <w:tcW w:w="620" w:type="dxa"/>
            <w:vAlign w:val="bottom"/>
            <w:gridSpan w:val="3"/>
          </w:tcPr>
          <w:p>
            <w:pPr>
              <w:ind w:left="220"/>
              <w:spacing w:after="0" w:line="196" w:lineRule="exact"/>
              <w:rPr>
                <w:rFonts w:ascii="Arial" w:cs="Arial" w:eastAsia="Arial" w:hAnsi="Arial"/>
                <w:sz w:val="18"/>
                <w:szCs w:val="18"/>
                <w:color w:val="0000FF"/>
              </w:rPr>
            </w:pPr>
            <w:hyperlink w:anchor="page160">
              <w:r>
                <w:rPr>
                  <w:rFonts w:ascii="Arial" w:cs="Arial" w:eastAsia="Arial" w:hAnsi="Arial"/>
                  <w:sz w:val="18"/>
                  <w:szCs w:val="18"/>
                  <w:color w:val="0000FF"/>
                </w:rPr>
                <w:t>152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100" w:type="dxa"/>
            <w:vAlign w:val="bottom"/>
            <w:tcBorders>
              <w:bottom w:val="single" w:sz="8" w:color="0000FF"/>
            </w:tcBorders>
            <w:gridSpan w:val="2"/>
          </w:tcPr>
          <w:p>
            <w:pPr>
              <w:spacing w:after="0" w:line="182" w:lineRule="exact"/>
              <w:rPr>
                <w:rFonts w:ascii="Arial" w:cs="Arial" w:eastAsia="Arial" w:hAnsi="Arial"/>
                <w:sz w:val="18"/>
                <w:szCs w:val="18"/>
                <w:color w:val="0000FF"/>
                <w:w w:val="91"/>
              </w:rPr>
            </w:pPr>
            <w:hyperlink w:anchor="page60">
              <w:r>
                <w:rPr>
                  <w:rFonts w:ascii="Arial" w:cs="Arial" w:eastAsia="Arial" w:hAnsi="Arial"/>
                  <w:sz w:val="18"/>
                  <w:szCs w:val="18"/>
                  <w:color w:val="0000FF"/>
                  <w:w w:val="91"/>
                </w:rPr>
                <w:t>OPERATIONS</w:t>
              </w:r>
            </w:hyperlink>
          </w:p>
        </w:tc>
        <w:tc>
          <w:tcPr>
            <w:tcW w:w="60" w:type="dxa"/>
            <w:vAlign w:val="bottom"/>
            <w:gridSpan w:val="2"/>
            <w:vMerge w:val="restart"/>
          </w:tcPr>
          <w:p>
            <w:pPr>
              <w:spacing w:after="0"/>
              <w:rPr>
                <w:sz w:val="17"/>
                <w:szCs w:val="17"/>
                <w:color w:val="auto"/>
              </w:rPr>
            </w:pPr>
          </w:p>
        </w:tc>
        <w:tc>
          <w:tcPr>
            <w:tcW w:w="1580" w:type="dxa"/>
            <w:vAlign w:val="bottom"/>
            <w:gridSpan w:val="5"/>
            <w:vMerge w:val="restart"/>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vMerge w:val="restart"/>
          </w:tcPr>
          <w:p>
            <w:pPr>
              <w:spacing w:after="0"/>
              <w:rPr>
                <w:sz w:val="17"/>
                <w:szCs w:val="17"/>
                <w:color w:val="auto"/>
              </w:rPr>
            </w:pPr>
          </w:p>
        </w:tc>
        <w:tc>
          <w:tcPr>
            <w:tcW w:w="46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180" w:type="dxa"/>
            <w:vAlign w:val="bottom"/>
            <w:tcBorders>
              <w:bottom w:val="single" w:sz="8" w:color="0000FF"/>
            </w:tcBorders>
            <w:gridSpan w:val="2"/>
          </w:tcPr>
          <w:p>
            <w:pPr>
              <w:jc w:val="right"/>
              <w:spacing w:after="0" w:line="182" w:lineRule="exact"/>
              <w:rPr>
                <w:rFonts w:ascii="Arial" w:cs="Arial" w:eastAsia="Arial" w:hAnsi="Arial"/>
                <w:sz w:val="18"/>
                <w:szCs w:val="18"/>
                <w:color w:val="0000FF"/>
                <w:w w:val="79"/>
              </w:rPr>
            </w:pPr>
            <w:hyperlink w:anchor="page60">
              <w:r>
                <w:rPr>
                  <w:rFonts w:ascii="Arial" w:cs="Arial" w:eastAsia="Arial" w:hAnsi="Arial"/>
                  <w:sz w:val="18"/>
                  <w:szCs w:val="18"/>
                  <w:color w:val="0000FF"/>
                  <w:w w:val="79"/>
                </w:rPr>
                <w:t>53</w:t>
              </w:r>
            </w:hyperlink>
          </w:p>
        </w:tc>
        <w:tc>
          <w:tcPr>
            <w:tcW w:w="400" w:type="dxa"/>
            <w:vAlign w:val="bottom"/>
            <w:vMerge w:val="restart"/>
          </w:tcPr>
          <w:p>
            <w:pPr>
              <w:spacing w:after="0"/>
              <w:rPr>
                <w:sz w:val="17"/>
                <w:szCs w:val="17"/>
                <w:color w:val="auto"/>
              </w:rPr>
            </w:pPr>
          </w:p>
        </w:tc>
        <w:tc>
          <w:tcPr>
            <w:tcW w:w="400" w:type="dxa"/>
            <w:vAlign w:val="bottom"/>
            <w:vMerge w:val="restart"/>
          </w:tcPr>
          <w:p>
            <w:pPr>
              <w:spacing w:after="0"/>
              <w:rPr>
                <w:sz w:val="17"/>
                <w:szCs w:val="17"/>
                <w:color w:val="auto"/>
              </w:rPr>
            </w:pPr>
          </w:p>
        </w:tc>
        <w:tc>
          <w:tcPr>
            <w:tcW w:w="3820" w:type="dxa"/>
            <w:vAlign w:val="bottom"/>
            <w:gridSpan w:val="11"/>
            <w:vMerge w:val="restart"/>
          </w:tcPr>
          <w:p>
            <w:pPr>
              <w:spacing w:after="0"/>
              <w:rPr>
                <w:rFonts w:ascii="Arial" w:cs="Arial" w:eastAsia="Arial" w:hAnsi="Arial"/>
                <w:sz w:val="18"/>
                <w:szCs w:val="18"/>
                <w:color w:val="0000FF"/>
                <w:w w:val="97"/>
              </w:rPr>
            </w:pPr>
            <w:hyperlink w:anchor="page160">
              <w:r>
                <w:rPr>
                  <w:rFonts w:ascii="Arial" w:cs="Arial" w:eastAsia="Arial" w:hAnsi="Arial"/>
                  <w:sz w:val="18"/>
                  <w:szCs w:val="18"/>
                  <w:color w:val="0000FF"/>
                  <w:w w:val="97"/>
                </w:rPr>
                <w:t>WHERE YOU CAN FIND MORE INFORMATION</w:t>
              </w:r>
            </w:hyperlink>
          </w:p>
        </w:tc>
        <w:tc>
          <w:tcPr>
            <w:tcW w:w="840" w:type="dxa"/>
            <w:vAlign w:val="bottom"/>
            <w:gridSpan w:val="4"/>
            <w:vMerge w:val="restart"/>
          </w:tcPr>
          <w:p>
            <w:pPr>
              <w:spacing w:after="0"/>
              <w:rPr>
                <w:sz w:val="17"/>
                <w:szCs w:val="17"/>
                <w:color w:val="auto"/>
              </w:rPr>
            </w:pPr>
          </w:p>
        </w:tc>
        <w:tc>
          <w:tcPr>
            <w:tcW w:w="620" w:type="dxa"/>
            <w:vAlign w:val="bottom"/>
            <w:gridSpan w:val="3"/>
            <w:vMerge w:val="restart"/>
          </w:tcPr>
          <w:p>
            <w:pPr>
              <w:ind w:left="220"/>
              <w:spacing w:after="0"/>
              <w:rPr>
                <w:rFonts w:ascii="Arial" w:cs="Arial" w:eastAsia="Arial" w:hAnsi="Arial"/>
                <w:sz w:val="18"/>
                <w:szCs w:val="18"/>
                <w:color w:val="0000FF"/>
              </w:rPr>
            </w:pPr>
            <w:hyperlink w:anchor="page160">
              <w:r>
                <w:rPr>
                  <w:rFonts w:ascii="Arial" w:cs="Arial" w:eastAsia="Arial" w:hAnsi="Arial"/>
                  <w:sz w:val="18"/>
                  <w:szCs w:val="18"/>
                  <w:color w:val="0000FF"/>
                </w:rPr>
                <w:t>152</w:t>
              </w:r>
            </w:hyperlink>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spacing w:after="0"/>
              <w:rPr>
                <w:rFonts w:ascii="Arial" w:cs="Arial" w:eastAsia="Arial" w:hAnsi="Arial"/>
                <w:sz w:val="18"/>
                <w:szCs w:val="18"/>
                <w:color w:val="0000FF"/>
                <w:w w:val="92"/>
              </w:rPr>
            </w:pPr>
            <w:hyperlink w:anchor="page91">
              <w:r>
                <w:rPr>
                  <w:rFonts w:ascii="Arial" w:cs="Arial" w:eastAsia="Arial" w:hAnsi="Arial"/>
                  <w:sz w:val="18"/>
                  <w:szCs w:val="18"/>
                  <w:color w:val="0000FF"/>
                  <w:w w:val="92"/>
                </w:rPr>
                <w:t>BUSINESS</w:t>
              </w:r>
            </w:hyperlink>
          </w:p>
        </w:tc>
        <w:tc>
          <w:tcPr>
            <w:tcW w:w="380" w:type="dxa"/>
            <w:vAlign w:val="bottom"/>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1580" w:type="dxa"/>
            <w:vAlign w:val="bottom"/>
            <w:gridSpan w:val="5"/>
            <w:vMerge w:val="continue"/>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84</w:t>
              </w:r>
            </w:hyperlink>
          </w:p>
        </w:tc>
        <w:tc>
          <w:tcPr>
            <w:tcW w:w="40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3820" w:type="dxa"/>
            <w:vAlign w:val="bottom"/>
            <w:gridSpan w:val="11"/>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6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880" w:type="dxa"/>
            <w:vAlign w:val="bottom"/>
            <w:gridSpan w:val="2"/>
            <w:vMerge w:val="continu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960" w:type="dxa"/>
            <w:vAlign w:val="bottom"/>
            <w:gridSpan w:val="8"/>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80" w:type="dxa"/>
            <w:vAlign w:val="bottom"/>
            <w:tcBorders>
              <w:bottom w:val="single" w:sz="8" w:color="0000FF"/>
            </w:tcBorders>
            <w:gridSpan w:val="2"/>
            <w:vMerge w:val="continue"/>
          </w:tcPr>
          <w:p>
            <w:pPr>
              <w:spacing w:after="0"/>
              <w:rPr>
                <w:sz w:val="17"/>
                <w:szCs w:val="17"/>
                <w:color w:val="auto"/>
              </w:rPr>
            </w:pPr>
          </w:p>
        </w:tc>
        <w:tc>
          <w:tcPr>
            <w:tcW w:w="440" w:type="dxa"/>
            <w:vAlign w:val="bottom"/>
            <w:gridSpan w:val="3"/>
          </w:tcPr>
          <w:p>
            <w:pPr>
              <w:spacing w:after="0"/>
              <w:rPr>
                <w:sz w:val="17"/>
                <w:szCs w:val="17"/>
                <w:color w:val="auto"/>
              </w:rPr>
            </w:pPr>
          </w:p>
        </w:tc>
        <w:tc>
          <w:tcPr>
            <w:tcW w:w="158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vMerge w:val="restart"/>
          </w:tcPr>
          <w:p>
            <w:pPr>
              <w:spacing w:after="0"/>
              <w:rPr>
                <w:sz w:val="17"/>
                <w:szCs w:val="17"/>
                <w:color w:val="auto"/>
              </w:rPr>
            </w:pPr>
          </w:p>
        </w:tc>
        <w:tc>
          <w:tcPr>
            <w:tcW w:w="4660" w:type="dxa"/>
            <w:vAlign w:val="bottom"/>
            <w:gridSpan w:val="15"/>
            <w:vMerge w:val="restart"/>
          </w:tcPr>
          <w:p>
            <w:pPr>
              <w:spacing w:after="0"/>
              <w:rPr>
                <w:rFonts w:ascii="Arial" w:cs="Arial" w:eastAsia="Arial" w:hAnsi="Arial"/>
                <w:sz w:val="18"/>
                <w:szCs w:val="18"/>
                <w:color w:val="0000FF"/>
              </w:rPr>
            </w:pPr>
            <w:hyperlink w:anchor="page160">
              <w:r>
                <w:rPr>
                  <w:rFonts w:ascii="Arial" w:cs="Arial" w:eastAsia="Arial" w:hAnsi="Arial"/>
                  <w:sz w:val="18"/>
                  <w:szCs w:val="18"/>
                  <w:color w:val="0000FF"/>
                </w:rPr>
                <w:t>INDEX TO CONSOLIDATED FINANCIAL STATEMENTS</w:t>
              </w:r>
            </w:hyperlink>
          </w:p>
        </w:tc>
        <w:tc>
          <w:tcPr>
            <w:tcW w:w="240" w:type="dxa"/>
            <w:vAlign w:val="bottom"/>
            <w:vMerge w:val="restart"/>
          </w:tcPr>
          <w:p>
            <w:pPr>
              <w:spacing w:after="0"/>
              <w:rPr>
                <w:sz w:val="17"/>
                <w:szCs w:val="17"/>
                <w:color w:val="auto"/>
              </w:rPr>
            </w:pPr>
          </w:p>
        </w:tc>
        <w:tc>
          <w:tcPr>
            <w:tcW w:w="380" w:type="dxa"/>
            <w:vAlign w:val="bottom"/>
            <w:gridSpan w:val="2"/>
            <w:vMerge w:val="restart"/>
          </w:tcPr>
          <w:p>
            <w:pPr>
              <w:spacing w:after="0"/>
              <w:rPr>
                <w:rFonts w:ascii="Arial" w:cs="Arial" w:eastAsia="Arial" w:hAnsi="Arial"/>
                <w:sz w:val="18"/>
                <w:szCs w:val="18"/>
                <w:color w:val="0000FF"/>
              </w:rPr>
            </w:pPr>
            <w:hyperlink w:anchor="page160">
              <w:r>
                <w:rPr>
                  <w:rFonts w:ascii="Arial" w:cs="Arial" w:eastAsia="Arial" w:hAnsi="Arial"/>
                  <w:sz w:val="18"/>
                  <w:szCs w:val="18"/>
                  <w:color w:val="0000FF"/>
                </w:rPr>
                <w:t>F-1</w:t>
              </w:r>
            </w:hyperlink>
          </w:p>
        </w:tc>
        <w:tc>
          <w:tcPr>
            <w:tcW w:w="0" w:type="dxa"/>
            <w:vAlign w:val="bottom"/>
          </w:tcPr>
          <w:p>
            <w:pPr>
              <w:spacing w:after="0"/>
              <w:rPr>
                <w:sz w:val="1"/>
                <w:szCs w:val="1"/>
                <w:color w:val="auto"/>
              </w:rPr>
            </w:pPr>
          </w:p>
        </w:tc>
      </w:tr>
      <w:tr>
        <w:trPr>
          <w:trHeight w:val="34"/>
        </w:trPr>
        <w:tc>
          <w:tcPr>
            <w:tcW w:w="1320" w:type="dxa"/>
            <w:vAlign w:val="bottom"/>
            <w:gridSpan w:val="5"/>
            <w:vMerge w:val="restart"/>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MANAGEMENT</w:t>
              </w:r>
            </w:hyperlink>
          </w:p>
        </w:tc>
        <w:tc>
          <w:tcPr>
            <w:tcW w:w="1580" w:type="dxa"/>
            <w:vAlign w:val="bottom"/>
            <w:gridSpan w:val="5"/>
            <w:vMerge w:val="restart"/>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6"/>
            <w:vMerge w:val="restart"/>
          </w:tcPr>
          <w:p>
            <w:pPr>
              <w:jc w:val="right"/>
              <w:ind w:right="400"/>
              <w:spacing w:after="0"/>
              <w:rPr>
                <w:rFonts w:ascii="Arial" w:cs="Arial" w:eastAsia="Arial" w:hAnsi="Arial"/>
                <w:sz w:val="18"/>
                <w:szCs w:val="18"/>
                <w:color w:val="0000FF"/>
              </w:rPr>
            </w:pPr>
            <w:hyperlink w:anchor="page108">
              <w:r>
                <w:rPr>
                  <w:rFonts w:ascii="Arial" w:cs="Arial" w:eastAsia="Arial" w:hAnsi="Arial"/>
                  <w:sz w:val="18"/>
                  <w:szCs w:val="18"/>
                  <w:color w:val="0000FF"/>
                </w:rPr>
                <w:t>101</w:t>
              </w:r>
            </w:hyperlink>
          </w:p>
        </w:tc>
        <w:tc>
          <w:tcPr>
            <w:tcW w:w="400" w:type="dxa"/>
            <w:vAlign w:val="bottom"/>
            <w:vMerge w:val="continue"/>
          </w:tcPr>
          <w:p>
            <w:pPr>
              <w:spacing w:after="0"/>
              <w:rPr>
                <w:sz w:val="2"/>
                <w:szCs w:val="2"/>
                <w:color w:val="auto"/>
              </w:rPr>
            </w:pPr>
          </w:p>
        </w:tc>
        <w:tc>
          <w:tcPr>
            <w:tcW w:w="4660" w:type="dxa"/>
            <w:vAlign w:val="bottom"/>
            <w:gridSpan w:val="15"/>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20" w:type="dxa"/>
            <w:vAlign w:val="bottom"/>
            <w:gridSpan w:val="5"/>
            <w:vMerge w:val="continue"/>
          </w:tcPr>
          <w:p>
            <w:pPr>
              <w:spacing w:after="0"/>
              <w:rPr>
                <w:sz w:val="17"/>
                <w:szCs w:val="17"/>
                <w:color w:val="auto"/>
              </w:rPr>
            </w:pPr>
          </w:p>
        </w:tc>
        <w:tc>
          <w:tcPr>
            <w:tcW w:w="1580" w:type="dxa"/>
            <w:vAlign w:val="bottom"/>
            <w:gridSpan w:val="5"/>
            <w:vMerge w:val="continue"/>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6"/>
            <w:vMerge w:val="continue"/>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6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4"/>
          </w:tcPr>
          <w:p>
            <w:pPr>
              <w:spacing w:after="0"/>
              <w:rPr>
                <w:sz w:val="24"/>
                <w:szCs w:val="24"/>
                <w:color w:val="auto"/>
              </w:rPr>
            </w:pPr>
          </w:p>
        </w:tc>
        <w:tc>
          <w:tcPr>
            <w:tcW w:w="1580" w:type="dxa"/>
            <w:vAlign w:val="bottom"/>
            <w:gridSpan w:val="5"/>
          </w:tcPr>
          <w:p>
            <w:pPr>
              <w:spacing w:after="0"/>
              <w:rPr>
                <w:sz w:val="24"/>
                <w:szCs w:val="24"/>
                <w:color w:val="auto"/>
              </w:rPr>
            </w:pPr>
          </w:p>
        </w:tc>
        <w:tc>
          <w:tcPr>
            <w:tcW w:w="1520" w:type="dxa"/>
            <w:vAlign w:val="bottom"/>
            <w:gridSpan w:val="4"/>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top w:val="single" w:sz="8" w:color="0000FF"/>
              <w:bottom w:val="single" w:sz="8" w:color="auto"/>
            </w:tcBorders>
            <w:gridSpan w:val="3"/>
          </w:tcPr>
          <w:p>
            <w:pPr>
              <w:spacing w:after="0"/>
              <w:rPr>
                <w:sz w:val="24"/>
                <w:szCs w:val="24"/>
                <w:color w:val="auto"/>
              </w:rPr>
            </w:pPr>
          </w:p>
        </w:tc>
        <w:tc>
          <w:tcPr>
            <w:tcW w:w="1660" w:type="dxa"/>
            <w:vAlign w:val="bottom"/>
            <w:tcBorders>
              <w:bottom w:val="single" w:sz="8" w:color="auto"/>
            </w:tcBorders>
            <w:gridSpan w:val="5"/>
          </w:tcPr>
          <w:p>
            <w:pPr>
              <w:spacing w:after="0"/>
              <w:rPr>
                <w:sz w:val="24"/>
                <w:szCs w:val="24"/>
                <w:color w:val="auto"/>
              </w:rPr>
            </w:pPr>
          </w:p>
        </w:tc>
        <w:tc>
          <w:tcPr>
            <w:tcW w:w="44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60" w:type="dxa"/>
            <w:vAlign w:val="bottom"/>
          </w:tcPr>
          <w:p>
            <w:pPr>
              <w:spacing w:after="0"/>
              <w:rPr>
                <w:sz w:val="24"/>
                <w:szCs w:val="24"/>
                <w:color w:val="auto"/>
              </w:rPr>
            </w:pPr>
          </w:p>
        </w:tc>
        <w:tc>
          <w:tcPr>
            <w:tcW w:w="2740" w:type="dxa"/>
            <w:vAlign w:val="bottom"/>
            <w:gridSpan w:val="9"/>
          </w:tcPr>
          <w:p>
            <w:pPr>
              <w:ind w:left="160"/>
              <w:spacing w:after="0"/>
              <w:rPr>
                <w:sz w:val="20"/>
                <w:szCs w:val="20"/>
                <w:color w:val="auto"/>
              </w:rPr>
            </w:pPr>
            <w:r>
              <w:rPr>
                <w:rFonts w:ascii="Arial" w:cs="Arial" w:eastAsia="Arial" w:hAnsi="Arial"/>
                <w:sz w:val="18"/>
                <w:szCs w:val="18"/>
                <w:b w:val="1"/>
                <w:bCs w:val="1"/>
                <w:color w:val="auto"/>
              </w:rPr>
              <w:t>Through and including</w:t>
            </w:r>
          </w:p>
        </w:tc>
        <w:tc>
          <w:tcPr>
            <w:tcW w:w="8320" w:type="dxa"/>
            <w:vAlign w:val="bottom"/>
            <w:gridSpan w:val="28"/>
          </w:tcPr>
          <w:p>
            <w:pPr>
              <w:ind w:left="260"/>
              <w:spacing w:after="0"/>
              <w:rPr>
                <w:sz w:val="20"/>
                <w:szCs w:val="20"/>
                <w:color w:val="auto"/>
              </w:rPr>
            </w:pPr>
            <w:r>
              <w:rPr>
                <w:rFonts w:ascii="Arial" w:cs="Arial" w:eastAsia="Arial" w:hAnsi="Arial"/>
                <w:sz w:val="18"/>
                <w:szCs w:val="18"/>
                <w:b w:val="1"/>
                <w:bCs w:val="1"/>
                <w:color w:val="auto"/>
                <w:w w:val="88"/>
              </w:rPr>
              <w:t>, 2021 (the 25th day after the date of this prospectus), all dealers effecting transactions in these securities,</w:t>
            </w:r>
          </w:p>
        </w:tc>
        <w:tc>
          <w:tcPr>
            <w:tcW w:w="0" w:type="dxa"/>
            <w:vAlign w:val="bottom"/>
          </w:tcPr>
          <w:p>
            <w:pPr>
              <w:spacing w:after="0"/>
              <w:rPr>
                <w:sz w:val="1"/>
                <w:szCs w:val="1"/>
                <w:color w:val="auto"/>
              </w:rPr>
            </w:pPr>
          </w:p>
        </w:tc>
      </w:tr>
    </w:tbl>
    <w:p>
      <w:pPr>
        <w:jc w:val="both"/>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144145</wp:posOffset>
            </wp:positionV>
            <wp:extent cx="1517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“we,” “us,” “our,” “our company” and “NerdWallet” refer to NerdWallet, Inc. and its consolidated subsidiaries. Unless otherwise indicated, references to our “common stock” refer to our Class A common stock.</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NERDWALLET,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mission is to provide clarity for all of life’s financial decisions.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NerdWallet, we empower consumers—both individual consumers and small and mid-sized businesses (SMBs)—to make smarter financial decisions with confidence via our digital platform. Technology has changed the way consumers manage their financial lives, making them more comfortable with comparing and shopping for financial products online. This change has accelerated with the dramatic growth in companies offering innovative financial products. At NerdWallet, we are leveraging this transformation to democratize access to trustworthy financial guidance—ultimately helping to improve the financial well-being of consumers and the financial services industry as a whole. As the financial services industry becomes more fragmented and complex, our value proposition as a trusted, independent platform for consumers increases.</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deliver guidance to consumers through educational content, tools and calculators, product marketplaces and the NerdWallet app. Our platform delivers unique value across many financial products, including credit cards, mortgages, insurance, SMB products, personal loans, banking, investing and student loans, and has grown to include the UK and Canada. Across every touchpoint, the cornerstone of our platform is our consumers’ trust in the independent, objective and relevant guidance we provide, free of charge.</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This trusted guidance has helped us build a large, loyal and well-informed audience of consumers who turn to us as a resource for many of their money questions and to shop for the best financial products for them. We then use machine learning to present personalized options using aggregated and scalable information. As a result, we have become an attractive partner for financial services providers wanting to access high-value consumers—consumers who might not otherwise trust these financial services providers’ recommendations because their guidance is inherently biased toward their own products.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By operating at the intersection of consumers and financial services providers, NerdWallet drives value for both. NerdWallet’s ability to serve consumers and financial services providers hinges on our position as an independent, unbiased resource. The core strength of our platform is the trust that we build with consumers and the tailored and personalized recommendations we deliver via our data science models.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mission will guide us over the long-term as we build on our leadership as the place consumers turn first for financial guidance. We have already achieved massive, top-of-funnel audience reach with an average of 16 million Monthly Unique Users (MUUs) per month in 2020 and 20 million per month in the first nine months of 2021. We define a Monthly Unique User (MUU) as a unique user with at least one session in a given month as determined by unique device identifiers. By putting the consumer first, we not only empower consumers to make better financial decisions, but also help our financial services partners more effectively find new customers well-suited to their products.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9900"/>
          </w:cols>
          <w:pgMar w:left="100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87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7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Our trusted platform aligns the interests of consumers seeking financial products with the financial services providers that offer these products. We do this by combining our house views with machine learning to help consumers find the right financial product for their needs. A successful initial experience often leads to follow-up activity on our platform and we believe it also leads to higher customer lifetime value for our financial services partners. This alignment of interests, enabled by our unbiased and trusted guidance, benefits consumers, the financial services partners and NerdWallet.</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built NerdWallet with the following key assumptions:</w:t>
      </w:r>
    </w:p>
    <w:p>
      <w:pPr>
        <w:spacing w:after="0" w:line="171" w:lineRule="exact"/>
        <w:rPr>
          <w:sz w:val="20"/>
          <w:szCs w:val="20"/>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Everything starts with trust;</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Consumers have an unmet need for unbiased guidance to inform their financial decisions; and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is a compelling opportunity to use data to personalize and automate guidance at scale.</w:t>
      </w:r>
    </w:p>
    <w:p>
      <w:pPr>
        <w:spacing w:after="0" w:line="171" w:lineRule="exact"/>
        <w:rPr>
          <w:sz w:val="20"/>
          <w:szCs w:val="20"/>
          <w:color w:val="auto"/>
        </w:rPr>
      </w:pPr>
    </w:p>
    <w:p>
      <w:pPr>
        <w:ind w:left="320" w:right="1240"/>
        <w:spacing w:after="0" w:line="438" w:lineRule="auto"/>
        <w:rPr>
          <w:sz w:val="20"/>
          <w:szCs w:val="20"/>
          <w:color w:val="auto"/>
        </w:rPr>
      </w:pPr>
      <w:r>
        <w:rPr>
          <w:rFonts w:ascii="Arial" w:cs="Arial" w:eastAsia="Arial" w:hAnsi="Arial"/>
          <w:sz w:val="18"/>
          <w:szCs w:val="18"/>
          <w:color w:val="auto"/>
        </w:rPr>
        <w:t xml:space="preserve">Starting with these assumptions, we offer the following benefits to consumers and to our financial services partners. </w:t>
      </w:r>
      <w:r>
        <w:rPr>
          <w:rFonts w:ascii="Arial" w:cs="Arial" w:eastAsia="Arial" w:hAnsi="Arial"/>
          <w:sz w:val="18"/>
          <w:szCs w:val="18"/>
          <w:b w:val="1"/>
          <w:bCs w:val="1"/>
          <w:i w:val="1"/>
          <w:iCs w:val="1"/>
          <w:color w:val="auto"/>
        </w:rPr>
        <w:t>Benefits of Our Platform for Consumers</w:t>
      </w:r>
    </w:p>
    <w:p>
      <w:pPr>
        <w:spacing w:after="0" w:line="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platform is designed to provide consumers with clarity about their finances, to empower them to make optimal financial decisions and instill them with a sense of confidence in their choices. We accomplish this by:</w:t>
      </w:r>
    </w:p>
    <w:p>
      <w:pPr>
        <w:spacing w:after="0" w:line="116" w:lineRule="exact"/>
        <w:rPr>
          <w:sz w:val="20"/>
          <w:szCs w:val="20"/>
          <w:color w:val="auto"/>
        </w:rPr>
      </w:pPr>
    </w:p>
    <w:p>
      <w:pPr>
        <w:jc w:val="both"/>
        <w:ind w:left="640" w:right="20" w:hanging="322"/>
        <w:spacing w:after="0" w:line="263"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Providing Comprehensive Guidance with an Independent, Unbiased Editorial Team. </w:t>
      </w:r>
      <w:r>
        <w:rPr>
          <w:rFonts w:ascii="Arial" w:cs="Arial" w:eastAsia="Arial" w:hAnsi="Arial"/>
          <w:sz w:val="18"/>
          <w:szCs w:val="18"/>
          <w:color w:val="auto"/>
        </w:rPr>
        <w:t>We build trust by offering guidance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credible, consistent and grounded in our consumer-first values. We establish credibility with financial product reviews and content that cover a myriad of topics.</w:t>
      </w:r>
    </w:p>
    <w:p>
      <w:pPr>
        <w:spacing w:after="0" w:line="129"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Using Simplicity and Transparency to Enable Well-Informed Decisions. </w:t>
      </w:r>
      <w:r>
        <w:rPr>
          <w:rFonts w:ascii="Arial" w:cs="Arial" w:eastAsia="Arial" w:hAnsi="Arial"/>
          <w:sz w:val="18"/>
          <w:szCs w:val="18"/>
          <w:color w:val="auto"/>
        </w:rPr>
        <w:t>We write articles and build tools to appeal to everyone,</w:t>
      </w:r>
      <w:r>
        <w:rPr>
          <w:rFonts w:ascii="Arial" w:cs="Arial" w:eastAsia="Arial" w:hAnsi="Arial"/>
          <w:sz w:val="18"/>
          <w:szCs w:val="18"/>
          <w:i w:val="1"/>
          <w:iCs w:val="1"/>
          <w:color w:val="auto"/>
        </w:rPr>
        <w:t xml:space="preserve"> </w:t>
      </w:r>
      <w:r>
        <w:rPr>
          <w:rFonts w:ascii="Arial" w:cs="Arial" w:eastAsia="Arial" w:hAnsi="Arial"/>
          <w:sz w:val="18"/>
          <w:szCs w:val="18"/>
          <w:color w:val="auto"/>
        </w:rPr>
        <w:t>ranging from the casual reader to someone looking to understand more complex details on a topic.</w:t>
      </w:r>
    </w:p>
    <w:p>
      <w:pPr>
        <w:spacing w:after="0" w:line="116" w:lineRule="exact"/>
        <w:rPr>
          <w:rFonts w:ascii="Arial" w:cs="Arial" w:eastAsia="Arial" w:hAnsi="Arial"/>
          <w:sz w:val="18"/>
          <w:szCs w:val="18"/>
          <w:color w:val="auto"/>
        </w:rPr>
      </w:pPr>
    </w:p>
    <w:p>
      <w:pPr>
        <w:jc w:val="both"/>
        <w:ind w:left="640" w:hanging="322"/>
        <w:spacing w:after="0" w:line="275"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Acting as a Trusted Guide and Navigator, Providing Personalized Guidance. </w:t>
      </w:r>
      <w:r>
        <w:rPr>
          <w:rFonts w:ascii="Arial" w:cs="Arial" w:eastAsia="Arial" w:hAnsi="Arial"/>
          <w:sz w:val="17"/>
          <w:szCs w:val="17"/>
          <w:color w:val="auto"/>
        </w:rPr>
        <w:t>We make it easy for our Registered Users to stay</w:t>
      </w:r>
      <w:r>
        <w:rPr>
          <w:rFonts w:ascii="Arial" w:cs="Arial" w:eastAsia="Arial" w:hAnsi="Arial"/>
          <w:sz w:val="17"/>
          <w:szCs w:val="17"/>
          <w:i w:val="1"/>
          <w:iCs w:val="1"/>
          <w:color w:val="auto"/>
        </w:rPr>
        <w:t xml:space="preserve"> </w:t>
      </w:r>
      <w:r>
        <w:rPr>
          <w:rFonts w:ascii="Arial" w:cs="Arial" w:eastAsia="Arial" w:hAnsi="Arial"/>
          <w:sz w:val="17"/>
          <w:szCs w:val="17"/>
          <w:color w:val="auto"/>
        </w:rPr>
        <w:t>on top of their money by centralizing many of their financial decisions in one place. Consumers can get a holistic view of their finances, and hone in on specific details about their spending and saving patterns across accounts. By codifying insights from our award-winning editorial team, we are able to recommend smart money moves via contextual “nudges.” As a result, we have become a one-stop-shop for consumers to track, manage and plan their financial futures.</w:t>
      </w:r>
    </w:p>
    <w:p>
      <w:pPr>
        <w:spacing w:after="0" w:line="122" w:lineRule="exact"/>
        <w:rPr>
          <w:rFonts w:ascii="Arial" w:cs="Arial" w:eastAsia="Arial" w:hAnsi="Arial"/>
          <w:sz w:val="17"/>
          <w:szCs w:val="17"/>
          <w:color w:val="auto"/>
        </w:rPr>
      </w:pPr>
    </w:p>
    <w:p>
      <w:pPr>
        <w:jc w:val="both"/>
        <w:ind w:left="640" w:hanging="322"/>
        <w:spacing w:after="0" w:line="286"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Providing Comprehensive Coverage Across Major Financial Verticals. </w:t>
      </w:r>
      <w:r>
        <w:rPr>
          <w:rFonts w:ascii="Arial" w:cs="Arial" w:eastAsia="Arial" w:hAnsi="Arial"/>
          <w:sz w:val="17"/>
          <w:szCs w:val="17"/>
          <w:color w:val="auto"/>
        </w:rPr>
        <w:t>Today, we have financial services partners in eight</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verticals: credit cards, mortgages, insurance, SMB products, personal loans, banking, investing and student loans. We have a broad range of partners, from the largest financial services providers to disruptive emerging players.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Benefits of Our Platform for our Partners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order to match consumer demand for high-quality financial products, we partner with leading financial services providers. We attract these financial services partners to our platform by offering:</w:t>
      </w:r>
    </w:p>
    <w:p>
      <w:pPr>
        <w:spacing w:after="0" w:line="116" w:lineRule="exact"/>
        <w:rPr>
          <w:sz w:val="20"/>
          <w:szCs w:val="20"/>
          <w:color w:val="auto"/>
        </w:rPr>
      </w:pPr>
    </w:p>
    <w:p>
      <w:pPr>
        <w:ind w:left="640" w:hanging="322"/>
        <w:spacing w:after="0" w:line="27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Huge Audience and Reach, with an Average of 20 Million Monthly Unique Users Turning to the Nerds Per Month in the First Nine Months of 2021.</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2</w:t>
      </w:r>
    </w:p>
    <w:p>
      <w:pPr>
        <w:sectPr>
          <w:pgSz w:w="11900" w:h="16838" w:orient="portrait"/>
          <w:cols w:equalWidth="0" w:num="1">
            <w:col w:w="9900"/>
          </w:cols>
          <w:pgMar w:left="100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82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88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40" w:hanging="322"/>
        <w:spacing w:after="0" w:line="296" w:lineRule="auto"/>
        <w:tabs>
          <w:tab w:leader="none" w:pos="63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Access to Consumers Who Are Ready to Transact. </w:t>
      </w:r>
      <w:r>
        <w:rPr>
          <w:rFonts w:ascii="Arial" w:cs="Arial" w:eastAsia="Arial" w:hAnsi="Arial"/>
          <w:sz w:val="16"/>
          <w:szCs w:val="16"/>
          <w:color w:val="auto"/>
        </w:rPr>
        <w:t>Because our expertise and personalized guidance are helpful for consumers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 stages of the financial decision-making process, many of the consumers on our platform are poised to make a transaction after using our platform. For our financial services partners, these consumers who have a better understanding of our partners’ products than the average customer are more likely to </w:t>
      </w:r>
      <w:r>
        <w:rPr>
          <w:rFonts w:ascii="Arial" w:cs="Arial" w:eastAsia="Arial" w:hAnsi="Arial"/>
          <w:sz w:val="16"/>
          <w:szCs w:val="16"/>
          <w:color w:val="auto"/>
          <w:highlight w:val="white"/>
        </w:rPr>
        <w:t>successfully match with products offered by financial services partners.</w:t>
      </w:r>
      <w:r>
        <w:rPr>
          <w:rFonts w:ascii="Arial" w:cs="Arial" w:eastAsia="Arial" w:hAnsi="Arial"/>
          <w:sz w:val="16"/>
          <w:szCs w:val="16"/>
          <w:color w:val="auto"/>
        </w:rPr>
        <w:t xml:space="preserve"> We believe that these high-quality matches can result in higher customer lifetime values for our financial services partners.</w:t>
      </w:r>
    </w:p>
    <w:p>
      <w:pPr>
        <w:spacing w:after="0" w:line="107" w:lineRule="exact"/>
        <w:rPr>
          <w:rFonts w:ascii="Arial" w:cs="Arial" w:eastAsia="Arial" w:hAnsi="Arial"/>
          <w:sz w:val="16"/>
          <w:szCs w:val="16"/>
          <w:color w:val="auto"/>
        </w:rPr>
      </w:pPr>
    </w:p>
    <w:p>
      <w:pPr>
        <w:jc w:val="both"/>
        <w:ind w:left="640" w:hanging="322"/>
        <w:spacing w:after="0" w:line="259"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Positive Brand Association. </w:t>
      </w:r>
      <w:r>
        <w:rPr>
          <w:rFonts w:ascii="Arial" w:cs="Arial" w:eastAsia="Arial" w:hAnsi="Arial"/>
          <w:sz w:val="18"/>
          <w:szCs w:val="18"/>
          <w:color w:val="auto"/>
        </w:rPr>
        <w:t>We believe that our consumers place a high value on our unbiased guidance, and as such,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our financial services partners greatly benefit from placement on our “Best-of” Awards lists, in our reviews and within other NerdWallet content. As a result, many of our financial services partners use their “Best-of” designation in their own marketing materials.</w:t>
      </w:r>
    </w:p>
    <w:p>
      <w:pPr>
        <w:spacing w:after="0" w:line="132" w:lineRule="exact"/>
        <w:rPr>
          <w:rFonts w:ascii="Arial" w:cs="Arial" w:eastAsia="Arial" w:hAnsi="Arial"/>
          <w:sz w:val="18"/>
          <w:szCs w:val="18"/>
          <w:color w:val="auto"/>
        </w:rPr>
      </w:pPr>
    </w:p>
    <w:p>
      <w:pPr>
        <w:ind w:left="640" w:hanging="322"/>
        <w:spacing w:after="0" w:line="342" w:lineRule="auto"/>
        <w:tabs>
          <w:tab w:leader="none" w:pos="63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Exposure to Consumers Seeking a Broad Range of Financial Products. </w:t>
      </w:r>
      <w:r>
        <w:rPr>
          <w:rFonts w:ascii="Arial" w:cs="Arial" w:eastAsia="Arial" w:hAnsi="Arial"/>
          <w:sz w:val="16"/>
          <w:szCs w:val="16"/>
          <w:color w:val="auto"/>
        </w:rPr>
        <w:t>Given the breadth of our expertise, financial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can provide their offerings to consumers that use our platform for multiple facets of their financial well-being.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five core strengths that we believe provide us with a competitive advantage:</w:t>
      </w:r>
    </w:p>
    <w:p>
      <w:pPr>
        <w:spacing w:after="0" w:line="167" w:lineRule="exact"/>
        <w:rPr>
          <w:sz w:val="20"/>
          <w:szCs w:val="20"/>
          <w:color w:val="auto"/>
        </w:rPr>
      </w:pPr>
    </w:p>
    <w:p>
      <w:pPr>
        <w:jc w:val="both"/>
        <w:ind w:left="640" w:hanging="322"/>
        <w:spacing w:after="0" w:line="258"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Trusted Platform for Consumer and SMB Financial Guidance. </w:t>
      </w:r>
      <w:r>
        <w:rPr>
          <w:rFonts w:ascii="Arial" w:cs="Arial" w:eastAsia="Arial" w:hAnsi="Arial"/>
          <w:sz w:val="18"/>
          <w:szCs w:val="18"/>
          <w:color w:val="auto"/>
        </w:rPr>
        <w:t>We have maintained an unwavering commitment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consumers with free and trusted financial guidance for over a decade, including unbiased recommendations and decision-making tools. Additionally, in the trailing twelve months as of September 30, 2021, over 70% of our traffic on NerdWallet came from direct or unpaid traffic sources, further demonstrating the value of our brand, organic marketing efforts and strategy.</w:t>
      </w:r>
    </w:p>
    <w:p>
      <w:pPr>
        <w:spacing w:after="0" w:line="129" w:lineRule="exact"/>
        <w:rPr>
          <w:rFonts w:ascii="Arial" w:cs="Arial" w:eastAsia="Arial" w:hAnsi="Arial"/>
          <w:sz w:val="18"/>
          <w:szCs w:val="18"/>
          <w:color w:val="auto"/>
        </w:rPr>
      </w:pPr>
    </w:p>
    <w:p>
      <w:pPr>
        <w:ind w:left="640" w:hanging="322"/>
        <w:spacing w:after="0" w:line="28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Massive Top-of-the-Funnel Reach. </w:t>
      </w:r>
      <w:r>
        <w:rPr>
          <w:rFonts w:ascii="Arial" w:cs="Arial" w:eastAsia="Arial" w:hAnsi="Arial"/>
          <w:sz w:val="18"/>
          <w:szCs w:val="18"/>
          <w:color w:val="auto"/>
        </w:rPr>
        <w:t>The foundation of our platform is a direct, consumer-first approach, combined with deep</w:t>
      </w:r>
      <w:r>
        <w:rPr>
          <w:rFonts w:ascii="Arial" w:cs="Arial" w:eastAsia="Arial" w:hAnsi="Arial"/>
          <w:sz w:val="18"/>
          <w:szCs w:val="18"/>
          <w:b w:val="1"/>
          <w:bCs w:val="1"/>
          <w:color w:val="auto"/>
        </w:rPr>
        <w:t xml:space="preserve"> </w:t>
      </w:r>
      <w:r>
        <w:rPr>
          <w:rFonts w:ascii="Arial" w:cs="Arial" w:eastAsia="Arial" w:hAnsi="Arial"/>
          <w:sz w:val="18"/>
          <w:szCs w:val="18"/>
          <w:color w:val="auto"/>
        </w:rPr>
        <w:t>domain expertise. This drives superior brand awareness and traffic to our platform.</w:t>
      </w:r>
    </w:p>
    <w:p>
      <w:pPr>
        <w:spacing w:after="0" w:line="107" w:lineRule="exact"/>
        <w:rPr>
          <w:rFonts w:ascii="Arial" w:cs="Arial" w:eastAsia="Arial" w:hAnsi="Arial"/>
          <w:sz w:val="18"/>
          <w:szCs w:val="18"/>
          <w:color w:val="auto"/>
        </w:rPr>
      </w:pPr>
    </w:p>
    <w:p>
      <w:pPr>
        <w:jc w:val="both"/>
        <w:ind w:left="640" w:hanging="322"/>
        <w:spacing w:after="0" w:line="261"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Unique Breadth of Financial Offerings Under One Brand. </w:t>
      </w:r>
      <w:r>
        <w:rPr>
          <w:rFonts w:ascii="Arial" w:cs="Arial" w:eastAsia="Arial" w:hAnsi="Arial"/>
          <w:sz w:val="18"/>
          <w:szCs w:val="18"/>
          <w:color w:val="auto"/>
        </w:rPr>
        <w:t>We are a one-stop destination for consumer and SMB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covering credit cards, mortgages, insurance, SMB products, personal loans, banking, investing and student loans. This makes it easy for consumers to compare solutions from a wide array of providers across multiple products to meet their diverse needs.</w:t>
      </w:r>
    </w:p>
    <w:p>
      <w:pPr>
        <w:spacing w:after="0" w:line="125"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Platform That Drives and Benefits from Strong Network Effects. </w:t>
      </w:r>
      <w:r>
        <w:rPr>
          <w:rFonts w:ascii="Arial" w:cs="Arial" w:eastAsia="Arial" w:hAnsi="Arial"/>
          <w:sz w:val="18"/>
          <w:szCs w:val="18"/>
          <w:color w:val="auto"/>
        </w:rPr>
        <w:t>As more consumers use our platform and engage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extensive financial guidance and tools, our consumer and transaction database grows and our product recommendations yield higher success rates. This increases user satisfaction, converting more users into Registered Users and improving repeat user rates. As we apply machine learning to match more high-quality consumers with products and services, our platform becomes increasingly valuable to financial services partners. This, in turn, attracts new partners and new financial products to the platform.</w:t>
      </w:r>
    </w:p>
    <w:p>
      <w:pPr>
        <w:spacing w:after="0" w:line="133" w:lineRule="exact"/>
        <w:rPr>
          <w:rFonts w:ascii="Arial" w:cs="Arial" w:eastAsia="Arial" w:hAnsi="Arial"/>
          <w:sz w:val="18"/>
          <w:szCs w:val="18"/>
          <w:color w:val="auto"/>
        </w:rPr>
      </w:pPr>
    </w:p>
    <w:p>
      <w:pPr>
        <w:jc w:val="both"/>
        <w:ind w:left="640" w:right="20" w:hanging="322"/>
        <w:spacing w:after="0" w:line="281"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Founder-Led Management Team Focused on Continual Innovation and Capital Efficiency. </w:t>
      </w:r>
      <w:r>
        <w:rPr>
          <w:rFonts w:ascii="Arial" w:cs="Arial" w:eastAsia="Arial" w:hAnsi="Arial"/>
          <w:sz w:val="17"/>
          <w:szCs w:val="17"/>
          <w:color w:val="auto"/>
        </w:rPr>
        <w:t>Our co-founder,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and Chairman of our board of directors, Tim Chen, started NerdWallet in 2009 to bring clarity to all of life’s financial decisions. We grew to approximately $44 million of revenue in 2014 with no outside equity capital. Today, we continue to maintain a mindset of capital and financial discipline balanced with growth-oriented investing.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key growth strategies include:</w:t>
      </w:r>
    </w:p>
    <w:p>
      <w:pPr>
        <w:spacing w:after="0" w:line="167" w:lineRule="exact"/>
        <w:rPr>
          <w:sz w:val="20"/>
          <w:szCs w:val="20"/>
          <w:color w:val="auto"/>
        </w:rPr>
      </w:pPr>
    </w:p>
    <w:p>
      <w:pPr>
        <w:jc w:val="both"/>
        <w:ind w:left="640" w:hanging="322"/>
        <w:spacing w:after="0" w:line="258"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Grow Our Traffic and Increase Engagement. </w:t>
      </w:r>
      <w:r>
        <w:rPr>
          <w:rFonts w:ascii="Arial" w:cs="Arial" w:eastAsia="Arial" w:hAnsi="Arial"/>
          <w:sz w:val="18"/>
          <w:szCs w:val="18"/>
          <w:color w:val="auto"/>
        </w:rPr>
        <w:t>We convert unique users into Registered Users that utilize our 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decisioning tools and machine learning. We plan to continue to invest in building efficient and scalable technical capabilities to deliver personalized guidance and nudge consumers, at the right time, to take action based on our advice. With better machine learning, we believe our recommendations and contextual nudges will encourage repeat engagement and user registration on our platform.</w:t>
      </w:r>
    </w:p>
    <w:p>
      <w:pPr>
        <w:sectPr>
          <w:pgSz w:w="11900" w:h="16838" w:orient="portrait"/>
          <w:cols w:equalWidth="0" w:num="1">
            <w:col w:w="9900"/>
          </w:cols>
          <w:pgMar w:left="1000" w:top="1440" w:right="999" w:bottom="10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3</w:t>
      </w:r>
    </w:p>
    <w:p>
      <w:pPr>
        <w:sectPr>
          <w:pgSz w:w="11900" w:h="16838" w:orient="portrait"/>
          <w:cols w:equalWidth="0" w:num="1">
            <w:col w:w="9900"/>
          </w:cols>
          <w:pgMar w:left="1000" w:top="1440" w:right="999" w:bottom="1029"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40" w:hanging="322"/>
        <w:spacing w:after="0" w:line="26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Grow Within Existing and New Verticals. </w:t>
      </w:r>
      <w:r>
        <w:rPr>
          <w:rFonts w:ascii="Arial" w:cs="Arial" w:eastAsia="Arial" w:hAnsi="Arial"/>
          <w:sz w:val="18"/>
          <w:szCs w:val="18"/>
          <w:color w:val="auto"/>
        </w:rPr>
        <w:t>We plan to add capabilities within our existing verticals and expand to new</w:t>
      </w:r>
      <w:r>
        <w:rPr>
          <w:rFonts w:ascii="Arial" w:cs="Arial" w:eastAsia="Arial" w:hAnsi="Arial"/>
          <w:sz w:val="18"/>
          <w:szCs w:val="18"/>
          <w:b w:val="1"/>
          <w:bCs w:val="1"/>
          <w:color w:val="auto"/>
        </w:rPr>
        <w:t xml:space="preserve"> </w:t>
      </w:r>
      <w:r>
        <w:rPr>
          <w:rFonts w:ascii="Arial" w:cs="Arial" w:eastAsia="Arial" w:hAnsi="Arial"/>
          <w:sz w:val="18"/>
          <w:szCs w:val="18"/>
          <w:color w:val="auto"/>
        </w:rPr>
        <w:t>verticals to provide a broad range of tools for consumers. Our land and expand playbook is well defined—provide trusted content and tools to attract organic traffic, then leverage our brand and marketing expertise to accelerate growth in new verticals.</w:t>
      </w:r>
    </w:p>
    <w:p>
      <w:pPr>
        <w:spacing w:after="0" w:line="125" w:lineRule="exact"/>
        <w:rPr>
          <w:rFonts w:ascii="Arial" w:cs="Arial" w:eastAsia="Arial" w:hAnsi="Arial"/>
          <w:sz w:val="18"/>
          <w:szCs w:val="18"/>
          <w:color w:val="auto"/>
        </w:rPr>
      </w:pPr>
    </w:p>
    <w:p>
      <w:pPr>
        <w:ind w:left="640" w:hanging="322"/>
        <w:spacing w:after="0" w:line="282"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Expand Geographically. </w:t>
      </w:r>
      <w:r>
        <w:rPr>
          <w:rFonts w:ascii="Arial" w:cs="Arial" w:eastAsia="Arial" w:hAnsi="Arial"/>
          <w:sz w:val="18"/>
          <w:szCs w:val="18"/>
          <w:color w:val="auto"/>
        </w:rPr>
        <w:t>Our success and strong brand in the United States give us a solid foundation to expand into other</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geographies.</w:t>
      </w:r>
    </w:p>
    <w:p>
      <w:pPr>
        <w:spacing w:after="0" w:line="107" w:lineRule="exact"/>
        <w:rPr>
          <w:rFonts w:ascii="Arial" w:cs="Arial" w:eastAsia="Arial" w:hAnsi="Arial"/>
          <w:sz w:val="18"/>
          <w:szCs w:val="18"/>
          <w:color w:val="auto"/>
        </w:rPr>
      </w:pPr>
    </w:p>
    <w:p>
      <w:pPr>
        <w:jc w:val="both"/>
        <w:ind w:left="640" w:hanging="322"/>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Broaden and Deepen our Partnerships with Financial Services Partners. </w:t>
      </w:r>
      <w:r>
        <w:rPr>
          <w:rFonts w:ascii="Arial" w:cs="Arial" w:eastAsia="Arial" w:hAnsi="Arial"/>
          <w:sz w:val="18"/>
          <w:szCs w:val="18"/>
          <w:color w:val="auto"/>
        </w:rPr>
        <w:t>We partner with banks, insurance agencies,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advisors, loan brokers and other financial services providers. We will continue to identify new partners as well as vertical expansion opportunities with existing partners to optimize our platform for consumers.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have a substantial market opportunity in the growing global market for financial services. Our comprehensive platform serves a broad set of financial verticals, including credit cards, mortgages, insurance, SMB products, personal loans, banking, investing and student loans.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current and primary addressable market opportunity is U.S. financial services digital advertising spend, which is expected to be more than $23 billion in 2021, according to eMarketer.</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believe the services provided by financial advisors, insurance agencies, loan brokers and others will increasingly transition online in the coming years, which will expand our addressable market. As a result of this offline-to-online shift, offline sales commission dollars will be reallocated to better align with the growth and importance of digital channels. As financial services providers modernize their approach to sales commissions and related compensation, we expect that our addressable market opportunity will continue to grow.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There are a number of risks that you should understand before making an investment decision regarding this offering. These risks are discussed more fully in the section titled “Risk Factors” following this prospectus summary. If any of these risks actually occur, our business, financial condition or results of operations could be adversely affected. In such case, the trading price of our Class A common stock would likely decline, and you may lose all or part of your investment. These risks include, but are not limited to:</w:t>
      </w:r>
    </w:p>
    <w:p>
      <w:pPr>
        <w:spacing w:after="0" w:line="103" w:lineRule="exact"/>
        <w:rPr>
          <w:sz w:val="20"/>
          <w:szCs w:val="20"/>
          <w:color w:val="auto"/>
        </w:rPr>
      </w:pPr>
    </w:p>
    <w:p>
      <w:pPr>
        <w:jc w:val="both"/>
        <w:ind w:left="640" w:hanging="322"/>
        <w:spacing w:after="0" w:line="263"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on relationships with our financial services partners, and any adverse changes in their financial strength, tightening of their underwriting standards, or adverse changes to their online marketing strategy would adversely affect our business, financial condition and results of operations.</w:t>
      </w:r>
    </w:p>
    <w:p>
      <w:pPr>
        <w:spacing w:after="0" w:line="129"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consumers do not find value in our platform or do not like the consumer experience on our platform, the number of matches on our platform may decline, and would harm our business, financial condition and results of operations.</w:t>
      </w:r>
    </w:p>
    <w:p>
      <w:pPr>
        <w:spacing w:after="0" w:line="116" w:lineRule="exact"/>
        <w:rPr>
          <w:rFonts w:ascii="Arial" w:cs="Arial" w:eastAsia="Arial" w:hAnsi="Arial"/>
          <w:sz w:val="18"/>
          <w:szCs w:val="18"/>
          <w:color w:val="auto"/>
        </w:rPr>
      </w:pPr>
    </w:p>
    <w:p>
      <w:pPr>
        <w:jc w:val="both"/>
        <w:ind w:left="640" w:hanging="322"/>
        <w:spacing w:after="0" w:line="27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dependent on internet search engines, in particular,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w:t>
      </w:r>
    </w:p>
    <w:p>
      <w:pPr>
        <w:spacing w:after="0" w:line="117" w:lineRule="exact"/>
        <w:rPr>
          <w:rFonts w:ascii="Arial" w:cs="Arial" w:eastAsia="Arial" w:hAnsi="Arial"/>
          <w:sz w:val="17"/>
          <w:szCs w:val="17"/>
          <w:color w:val="auto"/>
        </w:rPr>
      </w:pPr>
    </w:p>
    <w:p>
      <w:pPr>
        <w:ind w:left="640" w:right="2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maintain our reputation and brand recognition and attract and engage users in a cost-effective manner would harm our business, financial condition and results of operations.</w:t>
      </w:r>
    </w:p>
    <w:p>
      <w:pPr>
        <w:spacing w:after="0" w:line="116"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make decisions based on the best interests of our users in order to build long-term trust that may result in us forgoing short-term gains.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10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compete in a highly competitive and rapidly evolving market with a number of other companies and we face the possibility of new entrants disrupting our market over time.</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recent international expansion subjects us to additional costs and risks which could harm our business, revenue and financial results, and our continued international expansion may be unsuccessful.</w:t>
      </w:r>
    </w:p>
    <w:p>
      <w:pPr>
        <w:spacing w:after="0" w:line="116" w:lineRule="exact"/>
        <w:rPr>
          <w:rFonts w:ascii="Arial" w:cs="Arial" w:eastAsia="Arial" w:hAnsi="Arial"/>
          <w:sz w:val="18"/>
          <w:szCs w:val="18"/>
          <w:color w:val="auto"/>
        </w:rPr>
      </w:pPr>
    </w:p>
    <w:p>
      <w:pPr>
        <w:ind w:left="640" w:hanging="322"/>
        <w:spacing w:after="0" w:line="342" w:lineRule="auto"/>
        <w:tabs>
          <w:tab w:leader="none" w:pos="6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making substantial investments in new product offerings and technologies, and expect to increase such investments in the future. These new efforts are inherently risky, and we may never realize any expected benefits from them.</w:t>
      </w:r>
    </w:p>
    <w:p>
      <w:pPr>
        <w:spacing w:after="0" w:line="69" w:lineRule="exact"/>
        <w:rPr>
          <w:rFonts w:ascii="Arial" w:cs="Arial" w:eastAsia="Arial" w:hAnsi="Arial"/>
          <w:sz w:val="16"/>
          <w:szCs w:val="16"/>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performance is dependent on our ability to successfully refer users to financial services partners, and these partners are not precluded from offering products and services outside of our platform.</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conditions in the consumer finance markets, or poor or uncertain macroeconomic conditions, could harm our business, financial condition and results of operations.</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Trends in the credit card industry, as well as the impact of the general economy on the ability of users to qualify for credit cards, could harm our business, financial condition and results of operations.</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subject to a variety of U.S. financial regulations, many of which are overlapping, ambiguous and still developing, which could subject us to claims or otherwise harm our business.</w:t>
      </w:r>
    </w:p>
    <w:p>
      <w:pPr>
        <w:spacing w:after="0" w:line="116" w:lineRule="exact"/>
        <w:rPr>
          <w:rFonts w:ascii="Arial" w:cs="Arial" w:eastAsia="Arial" w:hAnsi="Arial"/>
          <w:sz w:val="18"/>
          <w:szCs w:val="18"/>
          <w:color w:val="auto"/>
        </w:rPr>
      </w:pPr>
    </w:p>
    <w:p>
      <w:pPr>
        <w:jc w:val="both"/>
        <w:ind w:left="640" w:hanging="322"/>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incidents, or real or perceived errors, failures or bugs in our systems and platform could impair our operations, compromise our confidential information or our users’ personal information, damage our reputation and brand, and harm our business and operating results.</w:t>
      </w:r>
    </w:p>
    <w:p>
      <w:pPr>
        <w:spacing w:after="0" w:line="129" w:lineRule="exact"/>
        <w:rPr>
          <w:rFonts w:ascii="Arial" w:cs="Arial" w:eastAsia="Arial" w:hAnsi="Arial"/>
          <w:sz w:val="18"/>
          <w:szCs w:val="18"/>
          <w:color w:val="auto"/>
        </w:rPr>
      </w:pPr>
    </w:p>
    <w:p>
      <w:pPr>
        <w:ind w:left="640" w:right="20" w:hanging="322"/>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our Co-founder, CEO and Chairman of our board, Tim Chen, which will limit or preclude your ability to influence corporate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were incorporated under the laws of the state of Delaware in December 2011. Our principal executive offices are located at 875 Stevenson St, San Francisco, CA 94103. Our telephone number is (415) 549-8913. Our website address is www.nerdwallet.com. Information contained on, or that can be accessed through, our website is not incorporated by reference into this prospectus, and you should not consider information on our website to be part of this prospectus.</w:t>
      </w:r>
    </w:p>
    <w:p>
      <w:pPr>
        <w:spacing w:after="0" w:line="13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7"/>
          <w:szCs w:val="17"/>
          <w:color w:val="auto"/>
        </w:rPr>
        <w:t xml:space="preserve">The NerdWallet, Inc. design logo, the NERDWALLET service mark, “NerdWallet, Inc.,” and our other registered or common law trademarks, service marks, or trade names appearing in this prospectus are the property of NerdWallet, Inc. Other trade names, trademarks and service marks used in this prospectus are the property of their respective owners. Solely for convenience, trademarks and trade names referred to in this prospectus may appear without the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or TM symbols.</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Controlled Company Statu</w:t>
      </w:r>
      <w:r>
        <w:rPr>
          <w:rFonts w:ascii="Arial" w:cs="Arial" w:eastAsia="Arial" w:hAnsi="Arial"/>
          <w:sz w:val="18"/>
          <w:szCs w:val="18"/>
          <w:color w:val="auto"/>
        </w:rPr>
        <w:t>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will be a “controlled company” within the meaning of the Nasdaq Listing Rules and its corporate governance requirements. Under these rules, a company for which more than 50% of the voting power for the election of directors is held by an individual, group, or another company is a “controlled company” and may elect not to comply with certain of the Nasdaq Listing Rules’ corporate governance requirements, including: (i) the requirement that a majority of our board of directors consist of “independent directors” as defined under the Nasdaq Listing Rules; (ii) the requirement that we have a compensation committee that is composed entirely of independent directors; and (iii) the requirement that we have a nominating and corporate governance committee that is composed entirely of independent directors. We intend to use these exemptions upon our listing. As a result, upon completion of this offering, we do not intend to have a compensation committee composed entirely of independent directors, nor do we intend to have a nominating and corporate governance committee or an independent nominating function. Instead, our full board of directors will be directly responsible for nominating members of our board. Accordingly,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564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95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future our stockholders may not have the same protections afforded to stockholders of companies that are subject to all of the Nasdaq Listing Rules’ corporate governance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highlight w:val="white"/>
        </w:rPr>
        <w:t>We qualify as an “emerging growth company” as defined in the Jumpstart Our Business Startups Act of 2012, or the JOBS Act. An emerging growth company may take advantage of specified reduced reporting and other requirements that are otherwise applicable generally to public companies. These provisions include:</w:t>
      </w:r>
    </w:p>
    <w:p>
      <w:pPr>
        <w:spacing w:after="0" w:line="130" w:lineRule="exact"/>
        <w:rPr>
          <w:sz w:val="20"/>
          <w:szCs w:val="20"/>
          <w:color w:val="auto"/>
        </w:rPr>
      </w:pPr>
    </w:p>
    <w:p>
      <w:pPr>
        <w:ind w:left="640" w:right="20" w:hanging="322"/>
        <w:spacing w:after="0" w:line="308"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required to have only two years of audited financial statements and only two years of related selected financial data and Management’s Discussion and Analysis of Financial Condition and Results of Operations disclosure;</w:t>
      </w:r>
    </w:p>
    <w:p>
      <w:pPr>
        <w:spacing w:after="0" w:line="92" w:lineRule="exact"/>
        <w:rPr>
          <w:rFonts w:ascii="Arial" w:cs="Arial" w:eastAsia="Arial" w:hAnsi="Arial"/>
          <w:sz w:val="17"/>
          <w:szCs w:val="17"/>
          <w:color w:val="auto"/>
        </w:rPr>
      </w:pPr>
    </w:p>
    <w:p>
      <w:pPr>
        <w:jc w:val="both"/>
        <w:ind w:left="640" w:hanging="322"/>
        <w:spacing w:after="0" w:line="259"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exempt from the requirement that critical audit matters be discussed in our independent auditor’s reports on our audited financial statements or any other requirements that may be adopted by the Public Company Accounting Oversight Board (the “PCAOB”) unless the SEC determines that the application of such requirements to emerging growth companies is in the public interest;</w:t>
      </w:r>
    </w:p>
    <w:p>
      <w:pPr>
        <w:spacing w:after="0" w:line="132" w:lineRule="exact"/>
        <w:rPr>
          <w:rFonts w:ascii="Arial" w:cs="Arial" w:eastAsia="Arial" w:hAnsi="Arial"/>
          <w:sz w:val="18"/>
          <w:szCs w:val="18"/>
          <w:color w:val="auto"/>
        </w:rPr>
      </w:pPr>
    </w:p>
    <w:p>
      <w:pPr>
        <w:jc w:val="both"/>
        <w:ind w:left="640" w:right="20" w:hanging="322"/>
        <w:spacing w:after="0" w:line="26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exempt from the provisions of Section 404(b) of the Sarbanes-Oxley Act of 2002 (the “Sarbanes-Oxley Act”) requiring that our independent registered public accounting firm provide an attestation report on the effectiveness of its internal control over financial reporting;</w:t>
      </w:r>
    </w:p>
    <w:p>
      <w:pPr>
        <w:spacing w:after="0" w:line="129"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exempt from the “say on pay,” “say on frequency,” and “say on golden parachute” advisory vote requirements of the Dodd-Frank Wall Street Reform and Consumer Protection Act (the “Dodd-Frank Act”); and</w:t>
      </w:r>
    </w:p>
    <w:p>
      <w:pPr>
        <w:spacing w:after="0" w:line="116" w:lineRule="exact"/>
        <w:rPr>
          <w:rFonts w:ascii="Arial" w:cs="Arial" w:eastAsia="Arial" w:hAnsi="Arial"/>
          <w:sz w:val="18"/>
          <w:szCs w:val="18"/>
          <w:color w:val="auto"/>
        </w:rPr>
      </w:pPr>
    </w:p>
    <w:p>
      <w:pPr>
        <w:jc w:val="both"/>
        <w:ind w:left="640" w:hanging="322"/>
        <w:spacing w:after="0" w:line="263"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exempt from certain disclosure requirements of the Dodd-Frank Act relating to compensation of our executive officers and are permitted to omit the detailed compensation discussion and analysis from proxy statements and reports filed under the Securities Exchange Act of 1934, as amended (the “Exchange Act”).</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may take advantage of these provisions until the last day of our fiscal year following the fifth anniversary of the completion of this offering or such earlier time that we are no longer an emerging growth company. We would cease to be an emerging growth company upon the earliest of: (i) the last day of the first fiscal year in which our annual gross revenues are $1.07 billion or more; (ii) the date on which we have, during the previous three-year period, issued more than $1 billion in non-convertible debt securities; or (iii)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Exchange Act, for a period of at least 12 months and (z) have filed at least one annual report pursuant to the Exchange Act.</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 pursuant to Section 107 of the JOBS Act, as an emerging growth company, we have elected to take advantage of the extended transition period for complying with certain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risks related to our status as an emerging growth company, see the section titled “Risk Factors—Risks Related to this Offering and Ownership of Our Class A Common Stock”.</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36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13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9660"/>
          </w:cols>
          <w:pgMar w:left="1020" w:top="1440" w:right="12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offered by us</w:t>
      </w:r>
    </w:p>
    <w:p>
      <w:pPr>
        <w:spacing w:after="0" w:line="117" w:lineRule="exact"/>
        <w:rPr>
          <w:sz w:val="20"/>
          <w:szCs w:val="20"/>
          <w:color w:val="auto"/>
        </w:rPr>
      </w:pPr>
    </w:p>
    <w:p>
      <w:pPr>
        <w:ind w:right="240"/>
        <w:spacing w:after="0" w:line="396" w:lineRule="auto"/>
        <w:rPr>
          <w:sz w:val="20"/>
          <w:szCs w:val="20"/>
          <w:color w:val="auto"/>
        </w:rPr>
      </w:pPr>
      <w:r>
        <w:rPr>
          <w:rFonts w:ascii="Arial" w:cs="Arial" w:eastAsia="Arial" w:hAnsi="Arial"/>
          <w:sz w:val="16"/>
          <w:szCs w:val="16"/>
          <w:color w:val="auto"/>
        </w:rPr>
        <w:t>Class A common stock to be outstanding after this offering Class B common stock to be outstanding after this offering</w:t>
      </w:r>
    </w:p>
    <w:p>
      <w:pPr>
        <w:ind w:left="160" w:hanging="161"/>
        <w:spacing w:after="0" w:line="277"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62" w:lineRule="exact"/>
        <w:rPr>
          <w:sz w:val="20"/>
          <w:szCs w:val="20"/>
          <w:color w:val="auto"/>
        </w:rPr>
      </w:pPr>
    </w:p>
    <w:p>
      <w:pPr>
        <w:ind w:left="160" w:right="40" w:hanging="161"/>
        <w:spacing w:after="0" w:line="277" w:lineRule="auto"/>
        <w:rPr>
          <w:sz w:val="20"/>
          <w:szCs w:val="20"/>
          <w:color w:val="auto"/>
        </w:rPr>
      </w:pPr>
      <w:r>
        <w:rPr>
          <w:rFonts w:ascii="Arial" w:cs="Arial" w:eastAsia="Arial" w:hAnsi="Arial"/>
          <w:sz w:val="18"/>
          <w:szCs w:val="18"/>
          <w:color w:val="auto"/>
        </w:rPr>
        <w:t>Underwriters’ option to purchase additional shares of Class A common stock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Concentration of Voting Rights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7,250,000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33,061,689 shares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31,685,652 shares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64,747,341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1,087,500 shares</w:t>
      </w:r>
    </w:p>
    <w:p>
      <w:pPr>
        <w:spacing w:after="0" w:line="10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holders of Class A common stock are entitled to one vote per share.</w:t>
      </w:r>
    </w:p>
    <w:p>
      <w:pPr>
        <w:spacing w:after="0" w:line="10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holders of Class B common stock are entitled to ten votes per share.</w:t>
      </w:r>
    </w:p>
    <w:p>
      <w:pPr>
        <w:spacing w:after="0" w:line="108"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The holders of our Class A common stock and Class B common stock will generally vote together as a single class on all matters submitted to a vote of our stockholders unless otherwise required by Delaware law or our amended and restated certificate of incorporation. See the section titled “Description of Capital Stock” for additional information.</w:t>
      </w:r>
    </w:p>
    <w:p>
      <w:pPr>
        <w:spacing w:after="0" w:line="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holders of our outstanding Class B common stock, Tim Chen and his affiliated entities, will initially hold approximately 90.6% of the voting power of our outstanding capital stock following this offering and will have the ability to control the outcome of matters submitted to our stockholders for approval, including the election of our directors and the approval of any change in control transaction. See the sections titled “Principal Stockholders”, “Description of Capital Stock” and "Management — Controlled Company."</w:t>
      </w:r>
    </w:p>
    <w:p>
      <w:pPr>
        <w:spacing w:after="0" w:line="1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Each share of Class B common stock may be converted into one share of Class A common stock at the option of the holder thereof, and will be converted into one share of Class A common stock upon transfer thereof, subject to certain exceptions. All shares of Class B common stock will automatically convert into shares of Class A common stock (1) nine months following the death or permanent incapacity of Tim Chen, our Co-founder, Chief Executive Officer and Chairman of our board of directors, and (2) the first trading day that falls nine months after the date on which there are outstanding less than 5,000,000 shares of Class B common stock (subject to adjustment for stock splits, stock dividends, stock combinations and the like).</w:t>
      </w:r>
    </w:p>
    <w:p>
      <w:pPr>
        <w:spacing w:after="0" w:line="200" w:lineRule="exact"/>
        <w:rPr>
          <w:sz w:val="20"/>
          <w:szCs w:val="20"/>
          <w:color w:val="auto"/>
        </w:rPr>
      </w:pPr>
    </w:p>
    <w:p>
      <w:pPr>
        <w:sectPr>
          <w:pgSz w:w="11900" w:h="16838" w:orient="portrait"/>
          <w:cols w:equalWidth="0" w:num="2">
            <w:col w:w="4480" w:space="360"/>
            <w:col w:w="4820"/>
          </w:cols>
          <w:pgMar w:left="1020" w:top="1440"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9660"/>
          </w:cols>
          <w:pgMar w:left="1020" w:top="1440" w:right="121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We estimate that our net proceeds from the sale of our Class A common stock that we are offering will be approximately $116.8 million (or approximately $135.0 million if the underwriters exercise their option to purchase additional shares in full), assuming an initial public offering price of $18.00 per share, the midpoint of the estimated price range set forth on the cover page of this prospectus, and after deducting underwriting discounts and commissions and estimated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-1576070</wp:posOffset>
            </wp:positionV>
            <wp:extent cx="7136130" cy="6699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699250"/>
                    </a:xfrm>
                    <a:prstGeom prst="rect">
                      <a:avLst/>
                    </a:prstGeom>
                    <a:noFill/>
                  </pic:spPr>
                </pic:pic>
              </a:graphicData>
            </a:graphic>
          </wp:anchor>
        </w:drawing>
      </w:r>
    </w:p>
    <w:p>
      <w:pPr>
        <w:spacing w:after="0" w:line="111" w:lineRule="exact"/>
        <w:rPr>
          <w:sz w:val="20"/>
          <w:szCs w:val="20"/>
          <w:color w:val="auto"/>
        </w:rPr>
      </w:pPr>
    </w:p>
    <w:p>
      <w:pPr>
        <w:sectPr>
          <w:pgSz w:w="11900" w:h="16838" w:orient="portrait"/>
          <w:cols w:equalWidth="0" w:num="2">
            <w:col w:w="4140" w:space="720"/>
            <w:col w:w="5020"/>
          </w:cols>
          <w:pgMar w:left="1000" w:top="1440" w:right="1019" w:bottom="1440" w:gutter="0" w:footer="0" w:header="0"/>
        </w:sectPr>
      </w:pPr>
    </w:p>
    <w:p>
      <w:pPr>
        <w:ind w:left="4860"/>
        <w:spacing w:after="0"/>
        <w:rPr>
          <w:sz w:val="20"/>
          <w:szCs w:val="20"/>
          <w:color w:val="auto"/>
        </w:rPr>
      </w:pPr>
      <w:r>
        <w:rPr>
          <w:rFonts w:ascii="Arial" w:cs="Arial" w:eastAsia="Arial" w:hAnsi="Arial"/>
          <w:sz w:val="16"/>
          <w:szCs w:val="16"/>
          <w:color w:val="auto"/>
        </w:rPr>
        <w:t>We intend to use the net proceeds we receive from this offering for</w:t>
      </w:r>
    </w:p>
    <w:p>
      <w:pPr>
        <w:spacing w:after="0" w:line="46"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general corporate purposes, including working capital, operating</w:t>
      </w:r>
    </w:p>
    <w:p>
      <w:pPr>
        <w:spacing w:after="0" w:line="32"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expenses and capital expenditures. In addition, we intend to use</w:t>
      </w:r>
    </w:p>
    <w:p>
      <w:pPr>
        <w:spacing w:after="0" w:line="32"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approximately $29.3 million of the net proceeds we receive from</w:t>
      </w:r>
    </w:p>
    <w:p>
      <w:pPr>
        <w:spacing w:after="0" w:line="3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this offering to repay all outstanding principal amounts and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accrued interest under certain promissory notes held by family</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trusts affiliated with Jacob Gibson, one of our Co-founders. We</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may also use a portion of the net proceeds for acquisitions and/or</w:t>
      </w:r>
    </w:p>
    <w:p>
      <w:pPr>
        <w:spacing w:after="0" w:line="32"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strategic investments in complementary businesses, products,</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services or technologies, although we do not currently have any</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plans or commitments for any such acquisitions or investments.</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See the section titled “Use of Proceeds” for additional</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information.</w:t>
      </w:r>
    </w:p>
    <w:p>
      <w:pPr>
        <w:sectPr>
          <w:pgSz w:w="11900" w:h="16838" w:orient="portrait"/>
          <w:cols w:equalWidth="0" w:num="1">
            <w:col w:w="9880"/>
          </w:cols>
          <w:pgMar w:left="1000" w:top="1440" w:right="1019" w:bottom="1440" w:gutter="0" w:footer="0" w:header="0"/>
          <w:type w:val="continuous"/>
        </w:sectPr>
      </w:pPr>
    </w:p>
    <w:p>
      <w:pPr>
        <w:spacing w:after="0" w:line="1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Proposed trading symbol</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“NRDS”</w:t>
      </w:r>
    </w:p>
    <w:p>
      <w:pPr>
        <w:spacing w:after="0" w:line="198" w:lineRule="exact"/>
        <w:rPr>
          <w:sz w:val="20"/>
          <w:szCs w:val="20"/>
          <w:color w:val="auto"/>
        </w:rPr>
      </w:pPr>
    </w:p>
    <w:p>
      <w:pPr>
        <w:sectPr>
          <w:pgSz w:w="11900" w:h="16838" w:orient="portrait"/>
          <w:cols w:equalWidth="0" w:num="2">
            <w:col w:w="4140" w:space="720"/>
            <w:col w:w="5020"/>
          </w:cols>
          <w:pgMar w:left="1000" w:top="1440" w:right="1019" w:bottom="1440" w:gutter="0" w:footer="0" w:header="0"/>
          <w:type w:val="continuous"/>
        </w:sectPr>
      </w:pPr>
    </w:p>
    <w:p>
      <w:pPr>
        <w:jc w:val="both"/>
        <w:ind w:firstLine="324"/>
        <w:spacing w:after="0" w:line="311" w:lineRule="auto"/>
        <w:rPr>
          <w:sz w:val="20"/>
          <w:szCs w:val="20"/>
          <w:color w:val="auto"/>
        </w:rPr>
      </w:pPr>
      <w:r>
        <w:rPr>
          <w:rFonts w:ascii="Arial" w:cs="Arial" w:eastAsia="Arial" w:hAnsi="Arial"/>
          <w:sz w:val="16"/>
          <w:szCs w:val="16"/>
          <w:color w:val="auto"/>
        </w:rPr>
        <w:t>The number of shares of our Class A common stock that will be outstanding after this offering is based on 25,811,689 shares of our Class A common stock outstanding as of September 30, 2021 (including shares of our redeemable convertible preferred stock on an as-converted basis) and 31,685,652 shares of our Class B common stock outstanding as of September 30, 2021, and excludes:</w:t>
      </w:r>
    </w:p>
    <w:p>
      <w:pPr>
        <w:spacing w:after="0" w:line="95" w:lineRule="exact"/>
        <w:rPr>
          <w:sz w:val="20"/>
          <w:szCs w:val="20"/>
          <w:color w:val="auto"/>
        </w:rPr>
      </w:pPr>
    </w:p>
    <w:p>
      <w:pPr>
        <w:ind w:left="640" w:hanging="322"/>
        <w:spacing w:after="0" w:line="308"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6,932,360 shares of our Class A common stock issuable upon the exercise of options to purchase shares of our Class A common stock outstanding as of September 30, 2021, with a weighted average exercise price of $8.32 per share;</w:t>
      </w:r>
    </w:p>
    <w:p>
      <w:pPr>
        <w:spacing w:after="0" w:line="92" w:lineRule="exact"/>
        <w:rPr>
          <w:rFonts w:ascii="Arial" w:cs="Arial" w:eastAsia="Arial" w:hAnsi="Arial"/>
          <w:sz w:val="17"/>
          <w:szCs w:val="17"/>
          <w:color w:val="auto"/>
        </w:rPr>
      </w:pPr>
    </w:p>
    <w:p>
      <w:pPr>
        <w:ind w:left="640" w:hanging="322"/>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2,854,438 shares of our Class A common stock issuable upon the vesting of RSUs outstanding as of September 30, 2021;</w:t>
      </w:r>
    </w:p>
    <w:p>
      <w:pPr>
        <w:spacing w:after="0" w:line="182" w:lineRule="exact"/>
        <w:rPr>
          <w:rFonts w:ascii="Arial" w:cs="Arial" w:eastAsia="Arial" w:hAnsi="Arial"/>
          <w:sz w:val="17"/>
          <w:szCs w:val="17"/>
          <w:color w:val="auto"/>
        </w:rPr>
      </w:pPr>
    </w:p>
    <w:p>
      <w:pPr>
        <w:ind w:left="640" w:hanging="322"/>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6,153,642 shares of our Class A common stock reserved for future issuance under our equity compensation plans, consisting of:</w:t>
      </w:r>
    </w:p>
    <w:p>
      <w:pPr>
        <w:spacing w:after="0" w:line="194" w:lineRule="exact"/>
        <w:rPr>
          <w:rFonts w:ascii="Arial" w:cs="Arial" w:eastAsia="Arial" w:hAnsi="Arial"/>
          <w:sz w:val="16"/>
          <w:szCs w:val="16"/>
          <w:color w:val="auto"/>
        </w:rPr>
      </w:pPr>
    </w:p>
    <w:p>
      <w:pPr>
        <w:ind w:left="960" w:hanging="318"/>
        <w:spacing w:after="0" w:line="277" w:lineRule="auto"/>
        <w:tabs>
          <w:tab w:leader="none" w:pos="9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1,250,317 shares of our Class A common stock reserved for future issuance under our 2012 Equity Incentive Plan, or the 2012 Plan, as of September 30, 2021;</w:t>
      </w:r>
    </w:p>
    <w:p>
      <w:pPr>
        <w:spacing w:after="0" w:line="116" w:lineRule="exact"/>
        <w:rPr>
          <w:rFonts w:ascii="Arial" w:cs="Arial" w:eastAsia="Arial" w:hAnsi="Arial"/>
          <w:sz w:val="18"/>
          <w:szCs w:val="18"/>
          <w:color w:val="auto"/>
        </w:rPr>
      </w:pPr>
    </w:p>
    <w:p>
      <w:pPr>
        <w:ind w:left="960" w:hanging="318"/>
        <w:spacing w:after="0" w:line="342" w:lineRule="auto"/>
        <w:tabs>
          <w:tab w:leader="none" w:pos="1011" w:val="left"/>
        </w:tabs>
        <w:numPr>
          <w:ilvl w:val="1"/>
          <w:numId w:val="13"/>
        </w:numPr>
        <w:rPr>
          <w:rFonts w:ascii="Arial" w:cs="Arial" w:eastAsia="Arial" w:hAnsi="Arial"/>
          <w:sz w:val="16"/>
          <w:szCs w:val="16"/>
          <w:color w:val="auto"/>
        </w:rPr>
      </w:pPr>
      <w:r>
        <w:rPr>
          <w:rFonts w:ascii="Arial" w:cs="Arial" w:eastAsia="Arial" w:hAnsi="Arial"/>
          <w:sz w:val="16"/>
          <w:szCs w:val="16"/>
          <w:color w:val="auto"/>
        </w:rPr>
        <w:t>4,062,125 shares of our Class A common stock reserved for future issuance under the 2021 Equity Incentive Plan, or the 2021 Plan, which includes an annual evergreen increase and will become effective in connection with this offering; and</w:t>
      </w:r>
    </w:p>
    <w:p>
      <w:pPr>
        <w:spacing w:after="0" w:line="69" w:lineRule="exact"/>
        <w:rPr>
          <w:rFonts w:ascii="Arial" w:cs="Arial" w:eastAsia="Arial" w:hAnsi="Arial"/>
          <w:sz w:val="16"/>
          <w:szCs w:val="16"/>
          <w:color w:val="auto"/>
        </w:rPr>
      </w:pPr>
    </w:p>
    <w:p>
      <w:pPr>
        <w:ind w:left="960" w:hanging="318"/>
        <w:spacing w:after="0" w:line="342" w:lineRule="auto"/>
        <w:tabs>
          <w:tab w:leader="none" w:pos="955" w:val="left"/>
        </w:tabs>
        <w:numPr>
          <w:ilvl w:val="1"/>
          <w:numId w:val="13"/>
        </w:numPr>
        <w:rPr>
          <w:rFonts w:ascii="Arial" w:cs="Arial" w:eastAsia="Arial" w:hAnsi="Arial"/>
          <w:sz w:val="16"/>
          <w:szCs w:val="16"/>
          <w:color w:val="auto"/>
        </w:rPr>
      </w:pPr>
      <w:r>
        <w:rPr>
          <w:rFonts w:ascii="Arial" w:cs="Arial" w:eastAsia="Arial" w:hAnsi="Arial"/>
          <w:sz w:val="16"/>
          <w:szCs w:val="16"/>
          <w:color w:val="auto"/>
        </w:rPr>
        <w:t>841,200 shares of our Class A common stock reserved for future issuance under our 2021 Employee Stock Purchase Plan, or the ESPP, which includes an annual evergreen increase and will become effective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w:t>
      </w:r>
    </w:p>
    <w:p>
      <w:pPr>
        <w:sectPr>
          <w:pgSz w:w="11900" w:h="16838" w:orient="portrait"/>
          <w:cols w:equalWidth="0" w:num="1">
            <w:col w:w="9880"/>
          </w:cols>
          <w:pgMar w:left="1000" w:top="1440" w:right="101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83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383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
        <w:spacing w:after="0"/>
        <w:rPr>
          <w:sz w:val="20"/>
          <w:szCs w:val="20"/>
          <w:color w:val="auto"/>
        </w:rPr>
      </w:pPr>
      <w:r>
        <w:rPr>
          <w:rFonts w:ascii="Arial" w:cs="Arial" w:eastAsia="Arial" w:hAnsi="Arial"/>
          <w:sz w:val="18"/>
          <w:szCs w:val="18"/>
          <w:color w:val="auto"/>
        </w:rPr>
        <w:t>Unless otherwise indicated, the information in this prospectus assumes or gives effect to:</w:t>
      </w:r>
    </w:p>
    <w:p>
      <w:pPr>
        <w:spacing w:after="0" w:line="171" w:lineRule="exact"/>
        <w:rPr>
          <w:sz w:val="20"/>
          <w:szCs w:val="20"/>
          <w:color w:val="auto"/>
        </w:rPr>
      </w:pPr>
    </w:p>
    <w:p>
      <w:pPr>
        <w:ind w:left="322" w:hanging="322"/>
        <w:spacing w:after="0" w:line="277"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initial public offering price of $18.00 per share, which is the midpoint of the estimated offering price range set forth on the cover page of this prospectus;</w:t>
      </w:r>
    </w:p>
    <w:p>
      <w:pPr>
        <w:spacing w:after="0" w:line="116" w:lineRule="exact"/>
        <w:rPr>
          <w:rFonts w:ascii="Arial" w:cs="Arial" w:eastAsia="Arial" w:hAnsi="Arial"/>
          <w:sz w:val="18"/>
          <w:szCs w:val="18"/>
          <w:color w:val="auto"/>
        </w:rPr>
      </w:pPr>
    </w:p>
    <w:p>
      <w:pPr>
        <w:ind w:left="322" w:hanging="322"/>
        <w:spacing w:after="0" w:line="277"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each of which will occur immediately prior to the completion of this offering;</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1-for-2 reverse stock split of our capital stock effected on October 20, 2021;</w:t>
      </w:r>
    </w:p>
    <w:p>
      <w:pPr>
        <w:spacing w:after="0" w:line="171" w:lineRule="exact"/>
        <w:rPr>
          <w:rFonts w:ascii="Arial" w:cs="Arial" w:eastAsia="Arial" w:hAnsi="Arial"/>
          <w:sz w:val="18"/>
          <w:szCs w:val="18"/>
          <w:color w:val="auto"/>
        </w:rPr>
      </w:pPr>
    </w:p>
    <w:p>
      <w:pPr>
        <w:jc w:val="both"/>
        <w:ind w:left="322" w:hanging="322"/>
        <w:spacing w:after="0" w:line="273" w:lineRule="auto"/>
        <w:tabs>
          <w:tab w:leader="none" w:pos="31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redeemable convertible preferred stock outstanding as of September 30, 2021 into an aggregate of 7,526,824 shares of our Class A common stock upon the closing this offering, assuming an initial public offering price of $18.00 per share, which is the midpoint of the price range set forth on the cover page of this prospectus, provided that the actual number of shares of Class A common stock that will be issued upon conversion of our redeemable convertible preferred stock is subject to increase in the event the initial public offering price is less than $17.9592 per share as described more fully in “Capitalization — Series A Preferred Stock Additional Issuance”;</w:t>
      </w:r>
    </w:p>
    <w:p>
      <w:pPr>
        <w:spacing w:after="0" w:line="69" w:lineRule="exact"/>
        <w:rPr>
          <w:rFonts w:ascii="Arial" w:cs="Arial" w:eastAsia="Arial" w:hAnsi="Arial"/>
          <w:sz w:val="17"/>
          <w:szCs w:val="17"/>
          <w:color w:val="auto"/>
        </w:rPr>
      </w:pPr>
    </w:p>
    <w:p>
      <w:pPr>
        <w:ind w:left="322" w:hanging="322"/>
        <w:spacing w:after="0" w:line="277"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reclassification of all 31,685,652 outstanding shares of our Class F common stock into an equal number of shares of our Class B common stock;</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and</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38"/>
        <w:spacing w:after="0"/>
        <w:rPr>
          <w:sz w:val="20"/>
          <w:szCs w:val="20"/>
          <w:color w:val="auto"/>
        </w:rPr>
      </w:pPr>
      <w:r>
        <w:rPr>
          <w:rFonts w:ascii="Arial" w:cs="Arial" w:eastAsia="Arial" w:hAnsi="Arial"/>
          <w:sz w:val="16"/>
          <w:szCs w:val="16"/>
          <w:b w:val="1"/>
          <w:bCs w:val="1"/>
          <w:color w:val="auto"/>
        </w:rPr>
        <w:t>9</w:t>
      </w:r>
    </w:p>
    <w:p>
      <w:pPr>
        <w:sectPr>
          <w:pgSz w:w="11900" w:h="16838" w:orient="portrait"/>
          <w:cols w:equalWidth="0" w:num="1">
            <w:col w:w="9582"/>
          </w:cols>
          <w:pgMar w:left="1318" w:top="1440" w:right="99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081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308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following tables summarize our consolidated financial and other data. The summary consolidated statements of operations data for the years ended December 31, 2019 and 2020 have been derived from our audited consolidated financial statements included elsewhere in this prospectus. The summary consolidated statements of operations data for the nine months ended September 30, 2020 and 2021 and the consolidated balance sheet data as of September 30, 2021 have been derived from our unaudited interim consolidated financial statements included elsewhere in this prospectus. In management’s opinion, the unaudited interim consolidated financial statements have been prepared on the same basis as the annual financial statements and reflect all adjustments necessary to state fairly our financial position as of September 30, 2021 and our results of operations and cash flows for the nine months ended September 30, 2020 and 2021. Our historical results are not necessarily indicative of the results that may be expected in the future, and our results for the nine months ended September 30, 2021 are not necessarily indicative of the results expected for the full year ending December 31, 2021 or any future period. You should read the following summary consolidated financial and other data together with the section titled “Management’s Discussion and Analysis of Financial Condition and Results of Operations” and our consolidated financial statements and related notes included elsewhere in this prospectus. The summary consolidated financial and other data are not intended to replace, and are qualified in their entirety by,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10</w:t>
      </w:r>
    </w:p>
    <w:p>
      <w:pPr>
        <w:sectPr>
          <w:pgSz w:w="11900" w:h="16838" w:orient="portrait"/>
          <w:cols w:equalWidth="0" w:num="1">
            <w:col w:w="9900"/>
          </w:cols>
          <w:pgMar w:left="1000" w:top="1440" w:right="9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8216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821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Statements of Operations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1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6"/>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gridSpan w:val="6"/>
          </w:tcPr>
          <w:p>
            <w:pPr>
              <w:ind w:left="140"/>
              <w:spacing w:after="0"/>
              <w:rPr>
                <w:sz w:val="20"/>
                <w:szCs w:val="20"/>
                <w:color w:val="auto"/>
              </w:rPr>
            </w:pPr>
            <w:r>
              <w:rPr>
                <w:rFonts w:ascii="Arial" w:cs="Arial" w:eastAsia="Arial" w:hAnsi="Arial"/>
                <w:sz w:val="14"/>
                <w:szCs w:val="14"/>
                <w:b w:val="1"/>
                <w:bCs w:val="1"/>
                <w:color w:val="auto"/>
                <w:w w:val="99"/>
              </w:rPr>
              <w:t>(in millions, except per share amounts)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228.3</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Costs and expenses:</w:t>
            </w: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0"/>
        </w:trPr>
        <w:tc>
          <w:tcPr>
            <w:tcW w:w="4540" w:type="dxa"/>
            <w:vAlign w:val="bottom"/>
          </w:tcPr>
          <w:p>
            <w:pPr>
              <w:ind w:left="24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115.6</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70"/>
        </w:trPr>
        <w:tc>
          <w:tcPr>
            <w:tcW w:w="4540" w:type="dxa"/>
            <w:vAlign w:val="bottom"/>
          </w:tcPr>
          <w:p>
            <w:pPr>
              <w:ind w:left="24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Change in fair value of contingent considerations related to</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earnouts</w:t>
            </w:r>
          </w:p>
        </w:tc>
        <w:tc>
          <w:tcPr>
            <w:tcW w:w="8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199.9</w:t>
            </w: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243.4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gains (losses), net</w:t>
            </w:r>
          </w:p>
        </w:tc>
        <w:tc>
          <w:tcPr>
            <w:tcW w:w="8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8"/>
              </w:rPr>
              <w:t>NET INCOME (LOSS) PER SHARE ATTRIBUTABLE TO</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COMMON STOCKHOLDERS</w:t>
            </w: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Diluted</w:t>
            </w: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21"/>
                <w:szCs w:val="21"/>
                <w:color w:val="auto"/>
              </w:rPr>
            </w:pPr>
          </w:p>
        </w:tc>
        <w:tc>
          <w:tcPr>
            <w:tcW w:w="800" w:type="dxa"/>
            <w:vAlign w:val="bottom"/>
          </w:tcPr>
          <w:p>
            <w:pPr>
              <w:jc w:val="right"/>
              <w:ind w:right="59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WEIGHTED-AVERAGE SHARES USED IN COMPUTING</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PER SHARE ATTRIBUTABLE</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 COMMON STOCKHOLDERS</w:t>
            </w: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Class A:</w:t>
            </w: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4540" w:type="dxa"/>
            <w:vAlign w:val="bottom"/>
          </w:tcPr>
          <w:p>
            <w:pPr>
              <w:ind w:left="46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F:</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40" w:type="dxa"/>
            <w:vAlign w:val="bottom"/>
          </w:tcPr>
          <w:p>
            <w:pPr>
              <w:ind w:left="460"/>
              <w:spacing w:after="0"/>
              <w:rPr>
                <w:sz w:val="20"/>
                <w:szCs w:val="20"/>
                <w:color w:val="auto"/>
              </w:rPr>
            </w:pPr>
            <w:r>
              <w:rPr>
                <w:rFonts w:ascii="Arial" w:cs="Arial" w:eastAsia="Arial" w:hAnsi="Arial"/>
                <w:sz w:val="18"/>
                <w:szCs w:val="18"/>
                <w:color w:val="auto"/>
              </w:rPr>
              <w:t>Basic</w:t>
            </w: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9"/>
        </w:trPr>
        <w:tc>
          <w:tcPr>
            <w:tcW w:w="4540" w:type="dxa"/>
            <w:vAlign w:val="bottom"/>
          </w:tcPr>
          <w:p>
            <w:pPr>
              <w:ind w:left="40"/>
              <w:spacing w:after="0"/>
              <w:rPr>
                <w:sz w:val="20"/>
                <w:szCs w:val="20"/>
                <w:color w:val="auto"/>
              </w:rPr>
            </w:pPr>
            <w:r>
              <w:rPr>
                <w:rFonts w:ascii="Arial" w:cs="Arial" w:eastAsia="Arial" w:hAnsi="Arial"/>
                <w:sz w:val="18"/>
                <w:szCs w:val="18"/>
                <w:color w:val="auto"/>
              </w:rPr>
              <w:t>PRO FORMA NET INCOME (LOSS) PER SHARE</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tcPr>
          <w:p>
            <w:pPr>
              <w:ind w:left="200"/>
              <w:spacing w:after="0" w:line="257" w:lineRule="exact"/>
              <w:rPr>
                <w:sz w:val="20"/>
                <w:szCs w:val="20"/>
                <w:color w:val="auto"/>
              </w:rPr>
            </w:pPr>
            <w:r>
              <w:rPr>
                <w:rFonts w:ascii="Arial" w:cs="Arial" w:eastAsia="Arial" w:hAnsi="Arial"/>
                <w:sz w:val="18"/>
                <w:szCs w:val="18"/>
                <w:color w:val="auto"/>
              </w:rPr>
              <w:t>ATTRIBUTABLE TO COMMON STOCKHOLDERS</w:t>
            </w:r>
            <w:r>
              <w:rPr>
                <w:rFonts w:ascii="Arial" w:cs="Arial" w:eastAsia="Arial" w:hAnsi="Arial"/>
                <w:sz w:val="23"/>
                <w:szCs w:val="23"/>
                <w:color w:val="auto"/>
                <w:vertAlign w:val="superscript"/>
              </w:rPr>
              <w:t>(2)</w:t>
            </w: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ind w:right="59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WEIGHTED-AVERAGE SHARES USED IN COMPUTING</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 NET INCOME (LOSS) PER SHARE</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ATTRIBUTABLE TO COMMON STOCKHOLDERS</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Basic</w:t>
            </w: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8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5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9900"/>
          </w:cols>
          <w:pgMar w:left="980" w:top="1440" w:right="1019" w:bottom="502"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53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w:t>
      </w:r>
    </w:p>
    <w:p>
      <w:pPr>
        <w:spacing w:after="0" w:line="13"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4"/>
          <w:szCs w:val="14"/>
          <w:color w:val="auto"/>
        </w:rPr>
        <w:t>(1)</w:t>
        <w:tab/>
        <w:t>Includes stock-based compensation expense as follows:</w:t>
      </w:r>
    </w:p>
    <w:p>
      <w:pPr>
        <w:spacing w:after="0" w:line="39"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160" w:type="dxa"/>
            <w:vAlign w:val="bottom"/>
            <w:gridSpan w:val="4"/>
          </w:tcPr>
          <w:p>
            <w:pPr>
              <w:jc w:val="right"/>
              <w:ind w:right="2"/>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
        </w:trPr>
        <w:tc>
          <w:tcPr>
            <w:tcW w:w="3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3940" w:type="dxa"/>
            <w:vAlign w:val="bottom"/>
          </w:tcPr>
          <w:p>
            <w:pPr>
              <w:spacing w:after="0"/>
              <w:rPr>
                <w:sz w:val="16"/>
                <w:szCs w:val="16"/>
                <w:color w:val="auto"/>
              </w:rPr>
            </w:pPr>
          </w:p>
        </w:tc>
        <w:tc>
          <w:tcPr>
            <w:tcW w:w="860" w:type="dxa"/>
            <w:vAlign w:val="bottom"/>
          </w:tcPr>
          <w:p>
            <w:pPr>
              <w:jc w:val="right"/>
              <w:ind w:right="24"/>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2021</w:t>
            </w:r>
          </w:p>
        </w:tc>
      </w:tr>
      <w:tr>
        <w:trPr>
          <w:trHeight w:val="26"/>
        </w:trPr>
        <w:tc>
          <w:tcPr>
            <w:tcW w:w="3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3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2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3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60"/>
        </w:trPr>
        <w:tc>
          <w:tcPr>
            <w:tcW w:w="3940" w:type="dxa"/>
            <w:vAlign w:val="bottom"/>
          </w:tcPr>
          <w:p>
            <w:pPr>
              <w:ind w:left="20"/>
              <w:spacing w:after="0"/>
              <w:rPr>
                <w:sz w:val="20"/>
                <w:szCs w:val="20"/>
                <w:color w:val="auto"/>
              </w:rPr>
            </w:pPr>
            <w:r>
              <w:rPr>
                <w:rFonts w:ascii="Arial" w:cs="Arial" w:eastAsia="Arial" w:hAnsi="Arial"/>
                <w:sz w:val="16"/>
                <w:szCs w:val="16"/>
                <w:color w:val="auto"/>
              </w:rPr>
              <w:t>Sales and marketing expense</w:t>
            </w:r>
          </w:p>
        </w:tc>
        <w:tc>
          <w:tcPr>
            <w:tcW w:w="8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3"/>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w:t>
            </w:r>
          </w:p>
        </w:tc>
        <w:tc>
          <w:tcPr>
            <w:tcW w:w="86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Total stock-based compensation expense</w:t>
            </w:r>
          </w:p>
        </w:tc>
        <w:tc>
          <w:tcPr>
            <w:tcW w:w="86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84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1"/>
        </w:trPr>
        <w:tc>
          <w:tcPr>
            <w:tcW w:w="3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340" w:hanging="326"/>
        <w:spacing w:after="0" w:line="246"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computations of unaudited pro forma basic and diluted net income (loss) per share give effect to (1) the automatic conversion of all outstanding shares of our redeemable convertible preferred stock as of September 30, 2021 into an aggregate of 7,526,824 shares of our Class A common stock upon the closing of this offering, assuming an initial public offering price of $18.00 per share, which is the midpoint of the price range set forth on the cover page of this prospectus, provided that the actual number of shares of Class A common stock that will be issued upon conversion of our redeemable convertible preferred stock is subject to increase in the event the initial public offering price is less than $17.9592 per share as described more fully in “Capitalization — Series A Preferred Stock Additional Issuance”, and (2) the reclassification of all 31,685,652 outstanding shares of our Class F common stock into an equal number of shares of our Class B common stock immediately prior to the completion of this offering.</w:t>
      </w: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Balance Sheet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Pro Forma</w:t>
            </w:r>
          </w:p>
        </w:tc>
      </w:tr>
      <w:tr>
        <w:trPr>
          <w:trHeight w:val="162"/>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Pro Forma</w:t>
            </w:r>
          </w:p>
        </w:tc>
        <w:tc>
          <w:tcPr>
            <w:tcW w:w="200" w:type="dxa"/>
            <w:vAlign w:val="bottom"/>
          </w:tcPr>
          <w:p>
            <w:pPr>
              <w:spacing w:after="0"/>
              <w:rPr>
                <w:sz w:val="14"/>
                <w:szCs w:val="14"/>
                <w:color w:val="auto"/>
              </w:rPr>
            </w:pPr>
          </w:p>
        </w:tc>
        <w:tc>
          <w:tcPr>
            <w:tcW w:w="112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as Adjusted</w:t>
            </w:r>
          </w:p>
        </w:tc>
      </w:tr>
      <w:tr>
        <w:trPr>
          <w:trHeight w:val="162"/>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4"/>
                <w:szCs w:val="14"/>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4"/>
                <w:szCs w:val="14"/>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September 30,</w:t>
            </w:r>
          </w:p>
        </w:tc>
      </w:tr>
      <w:tr>
        <w:trPr>
          <w:trHeight w:val="186"/>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90"/>
              </w:rPr>
              <w:t>2021</w:t>
            </w:r>
            <w:r>
              <w:rPr>
                <w:rFonts w:ascii="Arial" w:cs="Arial" w:eastAsia="Arial" w:hAnsi="Arial"/>
                <w:sz w:val="9"/>
                <w:szCs w:val="9"/>
                <w:b w:val="1"/>
                <w:bCs w:val="1"/>
                <w:color w:val="auto"/>
                <w:w w:val="90"/>
              </w:rPr>
              <w:t>(4)</w:t>
            </w:r>
          </w:p>
        </w:tc>
        <w:tc>
          <w:tcPr>
            <w:tcW w:w="200" w:type="dxa"/>
            <w:vAlign w:val="bottom"/>
          </w:tcPr>
          <w:p>
            <w:pPr>
              <w:spacing w:after="0"/>
              <w:rPr>
                <w:sz w:val="16"/>
                <w:szCs w:val="16"/>
                <w:color w:val="auto"/>
              </w:rPr>
            </w:pPr>
          </w:p>
        </w:tc>
        <w:tc>
          <w:tcPr>
            <w:tcW w:w="112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2021</w:t>
            </w:r>
            <w:r>
              <w:rPr>
                <w:rFonts w:ascii="Arial" w:cs="Arial" w:eastAsia="Arial" w:hAnsi="Arial"/>
                <w:sz w:val="9"/>
                <w:szCs w:val="9"/>
                <w:b w:val="1"/>
                <w:bCs w:val="1"/>
                <w:color w:val="auto"/>
                <w:w w:val="94"/>
              </w:rPr>
              <w:t>(4)</w:t>
            </w:r>
          </w:p>
        </w:tc>
      </w:tr>
      <w:tr>
        <w:trPr>
          <w:trHeight w:val="25"/>
        </w:trPr>
        <w:tc>
          <w:tcPr>
            <w:tcW w:w="5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(3)</w:t>
            </w:r>
          </w:p>
        </w:tc>
        <w:tc>
          <w:tcPr>
            <w:tcW w:w="16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23"/>
                <w:szCs w:val="23"/>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150.4</w:t>
            </w: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239.5</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239.5</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120.5</w:t>
            </w:r>
          </w:p>
        </w:tc>
        <w:tc>
          <w:tcPr>
            <w:tcW w:w="20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120.5</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66.2</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118.5</w:t>
            </w:r>
          </w:p>
        </w:tc>
        <w:tc>
          <w:tcPr>
            <w:tcW w:w="20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184.7</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301.5</w:t>
            </w: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52.8</w:t>
            </w:r>
          </w:p>
        </w:tc>
        <w:tc>
          <w:tcPr>
            <w:tcW w:w="20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119.0</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237.3</w:t>
            </w:r>
          </w:p>
        </w:tc>
      </w:tr>
      <w:tr>
        <w:trPr>
          <w:trHeight w:val="182"/>
        </w:trPr>
        <w:tc>
          <w:tcPr>
            <w:tcW w:w="5860" w:type="dxa"/>
            <w:vAlign w:val="bottom"/>
          </w:tcPr>
          <w:p>
            <w:pPr>
              <w:ind w:left="20"/>
              <w:spacing w:after="0"/>
              <w:rPr>
                <w:sz w:val="20"/>
                <w:szCs w:val="20"/>
                <w:color w:val="auto"/>
              </w:rPr>
            </w:pPr>
            <w:r>
              <w:rPr>
                <w:rFonts w:ascii="Arial" w:cs="Arial" w:eastAsia="Arial" w:hAnsi="Arial"/>
                <w:sz w:val="14"/>
                <w:szCs w:val="14"/>
                <w:color w:val="auto"/>
              </w:rPr>
              <w:t>_____________</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ind w:left="340" w:right="20" w:hanging="326"/>
        <w:spacing w:after="0" w:line="255"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and related notes included elsewhere in this prospectus for further details regarding our current assets and current liabilities.</w:t>
      </w:r>
    </w:p>
    <w:p>
      <w:pPr>
        <w:spacing w:after="0" w:line="185" w:lineRule="exact"/>
        <w:rPr>
          <w:rFonts w:ascii="Arial" w:cs="Arial" w:eastAsia="Arial" w:hAnsi="Arial"/>
          <w:sz w:val="14"/>
          <w:szCs w:val="14"/>
          <w:color w:val="auto"/>
        </w:rPr>
      </w:pPr>
    </w:p>
    <w:p>
      <w:pPr>
        <w:jc w:val="both"/>
        <w:ind w:left="340" w:hanging="326"/>
        <w:spacing w:after="0" w:line="246"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computations of unaudited pro forma balance sheet data give effect to (1) the automatic conversion of all outstanding shares of our redeemable convertible preferred stock as of September 30, 2021 into an aggregate of 7,526,824 shares of our Class A common stock upon the closing of this offering, assuming an initial public offering price of $18.00 per share, which is the midpoint of the price range set forth on the cover page of this prospectus, provided that the actual number of shares of Class A common stock that will be issued upon conversion of our redeemable convertible preferred stock is subject to increase in the event the initial public offering price is less than $17.9592 per share as described more fully in “Capitalization — Series A Preferred Stock Additional Issuance”, and (2) the reclassification of all 31,685,652 outstanding shares of our Class F common stock into an equal number of shares of our Class B common stock immediately prior to the completion of this offering.</w:t>
      </w:r>
    </w:p>
    <w:p>
      <w:pPr>
        <w:spacing w:after="0" w:line="140" w:lineRule="exact"/>
        <w:rPr>
          <w:rFonts w:ascii="Arial" w:cs="Arial" w:eastAsia="Arial" w:hAnsi="Arial"/>
          <w:sz w:val="14"/>
          <w:szCs w:val="14"/>
          <w:color w:val="auto"/>
        </w:rPr>
      </w:pPr>
    </w:p>
    <w:p>
      <w:pPr>
        <w:jc w:val="both"/>
        <w:ind w:left="340" w:right="20"/>
        <w:spacing w:after="0" w:line="273" w:lineRule="auto"/>
        <w:rPr>
          <w:rFonts w:ascii="Arial" w:cs="Arial" w:eastAsia="Arial" w:hAnsi="Arial"/>
          <w:sz w:val="14"/>
          <w:szCs w:val="14"/>
          <w:color w:val="auto"/>
        </w:rPr>
      </w:pPr>
      <w:r>
        <w:rPr>
          <w:rFonts w:ascii="Arial" w:cs="Arial" w:eastAsia="Arial" w:hAnsi="Arial"/>
          <w:sz w:val="13"/>
          <w:szCs w:val="13"/>
          <w:color w:val="auto"/>
        </w:rPr>
        <w:t>The computations of unaudited pro forma as adjusted balance sheet data give further effect to (1) our issuance and sale of 7,250,000 shares of Class A common stock in this offering at an assumed initial public offering price of $18.00 per share, the midpoint of the price range set forth on the cover page of this prospectus, after deducting estimated underwriting discounts and commissions and estimated offering expenses payable by us, and (2) the use of proceeds from the offering to repay $29.3 million related to all outstanding principal amounts and accrued interest under certain promissory notes held by family trusts affiliated with Jacob Gibson, one of our co-founders, as well as the related derecognition of the unamortized debt premium of $1.5 million as an adjustment to accumulated deficit.</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9920"/>
          </w:cols>
          <w:pgMar w:left="980" w:top="1440" w:right="99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150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315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Operating Metric and Non-GAAP Financial Measure</w:t>
      </w:r>
    </w:p>
    <w:p>
      <w:pPr>
        <w:spacing w:after="0" w:line="171" w:lineRule="exact"/>
        <w:rPr>
          <w:sz w:val="20"/>
          <w:szCs w:val="20"/>
          <w:color w:val="auto"/>
        </w:rPr>
      </w:pPr>
    </w:p>
    <w:p>
      <w:pPr>
        <w:jc w:val="both"/>
        <w:ind w:left="20" w:right="20" w:firstLine="324"/>
        <w:spacing w:after="0" w:line="263"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operating metric and non-GAAP measure to help us evaluate our business, identify trends affecting our business, formulate business plans, and make strategic decisions.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
        </w:trPr>
        <w:tc>
          <w:tcPr>
            <w:tcW w:w="45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4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6"/>
        </w:trPr>
        <w:tc>
          <w:tcPr>
            <w:tcW w:w="45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4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60" w:type="dxa"/>
            <w:vAlign w:val="bottom"/>
            <w:gridSpan w:val="4"/>
          </w:tcPr>
          <w:p>
            <w:pPr>
              <w:jc w:val="right"/>
              <w:ind w:right="87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
        </w:trPr>
        <w:tc>
          <w:tcPr>
            <w:tcW w:w="4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 Unique Users</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44.1</w:t>
            </w:r>
          </w:p>
        </w:tc>
        <w:tc>
          <w:tcPr>
            <w:tcW w:w="900" w:type="dxa"/>
            <w:vAlign w:val="bottom"/>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22.3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13.6</w:t>
            </w:r>
          </w:p>
        </w:tc>
      </w:tr>
    </w:tbl>
    <w:p>
      <w:pPr>
        <w:spacing w:after="0" w:line="175" w:lineRule="exact"/>
        <w:rPr>
          <w:sz w:val="20"/>
          <w:szCs w:val="20"/>
          <w:color w:val="auto"/>
        </w:rPr>
      </w:pPr>
    </w:p>
    <w:p>
      <w:pPr>
        <w:jc w:val="both"/>
        <w:ind w:left="20" w:firstLine="324"/>
        <w:spacing w:after="0" w:line="259" w:lineRule="auto"/>
        <w:rPr>
          <w:sz w:val="20"/>
          <w:szCs w:val="20"/>
          <w:color w:val="auto"/>
        </w:rPr>
      </w:pPr>
      <w:r>
        <w:rPr>
          <w:rFonts w:ascii="Arial" w:cs="Arial" w:eastAsia="Arial" w:hAnsi="Arial"/>
          <w:sz w:val="18"/>
          <w:szCs w:val="18"/>
          <w:color w:val="auto"/>
        </w:rPr>
        <w:t>For additional information about the key operating metric and non-GAAP financial measure and reconciliations of the non-GAAP financial measure to the most directly comparable financial measure stated in accordance with generally accepted accounting principles in the United States, or GAAP, see the section titled “Management’s Discussion and Analysis of Financial Condition and Results of Operations — Key Operating Metric and Non-GAAP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13</w:t>
      </w:r>
    </w:p>
    <w:p>
      <w:pPr>
        <w:sectPr>
          <w:pgSz w:w="11900" w:h="16838" w:orient="portrait"/>
          <w:cols w:equalWidth="0" w:num="1">
            <w:col w:w="9920"/>
          </w:cols>
          <w:pgMar w:left="980" w:top="1440" w:right="999" w:bottom="1440" w:gutter="0" w:footer="0" w:header="0"/>
        </w:sectPr>
      </w:pPr>
    </w:p>
    <w:bookmarkStart w:id="21" w:name="page22"/>
    <w:bookmarkEnd w:id="2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Investing in our Class A common stock involves a high degree of risk. You should carefully consider the following risks, together with all of the other information contained in this prospectus, before deciding to invest in our Class A common stock. Our business, financial condition, results of operations or prospects could be materially and adversely affected by any of these risks or uncertainties. In that case, the trading price of our Class A common stock could decline, and you may lose all or part of your investment.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depend on relationships with our financial services partners, and any adverse changes in their financial strength, tightening of their underwriting standards or adverse changes to their online marketing strategy would adversely affect our business, financial condition and results of operations.</w:t>
      </w:r>
    </w:p>
    <w:p>
      <w:pPr>
        <w:spacing w:after="0" w:line="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success depends on the financial strength and underwriting standards of credit card issuers, lenders, insurers and other participants on our platform. If our financial services partners experience financial difficulties, they may cease participating on our platform or tighten underwriting standards, which would result in fewer opportunities for us to earn fees from matching consumers with them. In times of financial difficulty, financial services providers may also fail to pay fees when due or drop the quality of their services to consumers. Our partners could also change their online marketing strategies or implement cost-reduction initiatives that decrease spending through our platform. The occurrence of one or more of these events, alone or in combination, with a significant number of financial services partners could harm our business, financial condition and results of operations.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consumers do not find value in our platform or do not like the consumer experience on our platform, the number of matches on our platform may decline, and would harm our business, financial condition and results of operations.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believe that the growth of our business and revenue depends upon our ability to engage our existing users and to add new users in our current as well as new markets. If we lose users or user engagement diminishes, our business and financial condition will be negatively impacted. If we fail to remain competitive on customer experience, editorial articles and product offerings, our ability to grow our business may also be adversely affected.</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a key part of our business strategy is to engage users in our existing markets, we also intend to expand our operations into new markets. In doing so, we may incur losses or otherwise fail to enter new markets successfully. Our expansion into new markets may place us in unfamiliar competitive environments and involve various risks, including competition, government regulation, the need to invest significant resources and the possibility that returns on such investments will not be achieved for several years or at all. There are many factors that could negatively affect our ability to grow our user base and engagement, including if:</w:t>
      </w:r>
    </w:p>
    <w:p>
      <w:pPr>
        <w:spacing w:after="0" w:line="13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lose users to new market entrants and/or existing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do not obtain regulatory approvals necessary for expansion into new verticals, geographies or to launch new product features and tools;</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effectively use search engines, social media platforms, digital app stores, content-based online advertising, and other online sources for generating traffic to our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platform experiences disruptions or outages;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suffer reputational harm to our brand including from negative publicity, whether accurate or inaccurate;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expand geographically;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offer new and competitive products, to provide effective updates to our existing products or to keep pace with technological improvements in our industry;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technical or other problems frustrate the user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14</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unable to address user concerns regarding the content, privacy, and security of our digital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unable to continue to innovate and improve our platform by generating compelling content and tools;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existing or new financial services providers use incentives to directly cross-sell their products, reducing consumer benefits of using multiple providers;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unable to successfully launch new verticals.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inability to overcome these challenges could impair our ability to engage users, and could harm our business, operating results and financial condition.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dependent on internet search engines, in particular,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dependent on internet search engines, primarily Google, to direct traffic to our platform, including our website. Search engines, such as Google, may modify their search algorithms and policies or enforce those policies in ways that are detrimental to us, and without prior notice to us. If that occurs, we may experience significant declines in the organic search ranking of our search results, leading to a decrease in traffic to our platform. We have experienced declines in traffic and user growth as a result of these changes in the past, and anticipate fluctuations as a result of such actions in the future.</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Google may take action against websites for behavior that it believes unfairly influences search results. Google does not publish guidelines explaining the types of behavior that may trigger an action. For example, in 2017, Google took action against us which temporarily resulted in lower search rankings and decreased traffic to our website. Our ability to appeal these actions is limited, and we may not be able to revise our content strategies to recover the loss in domain authority, page rankings, traffic or user growth resulting from such actions. Any significant reduction in the number of users directed to our website or mobile application from search engines would harm our business, revenue and financial results.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our reputation and brand recognition and attract and engage users in a cost-effective manner would harm our business, financial condition and results of operations.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order to attract consumers to our platform, convert these consumers into matches with financial services partners and generate repeat visits, we must market our platform and maintain consumer trust. Promoting and maintaining our brand requires the expenditure of considerable money and resources for online and offline marketing and advertising, the continued provision of high-quality products and services that meet user needs, the ability to maintain consumers’ trust, and the ability to successfully differentiate our brand, products and services from those of our competitors.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Brand recognition is a key differentiating factor between us and our competitors. We believe that continuing to build and maintain the recognition of our brand is important to achieving increased demand for the products we provide. Accordingly, we have spent, and expect to continue to spend, significant amounts on, and devote significant resources to, branding, advertising and other marketing initiatives, which may not be successful or cost-effective. Our brand promotion activities may not generate consumer awareness or yield increased revenue, and even if they do, any increased revenue may not offset the expenses we incur in building our brand.</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strength of our brand may be harmed by adverse publicity from many sources. Adverse publicity and the potential corresponding impact on our reputation may be accelerated and amplified by the widespread use of social media platforms. Furthermore, adverse publicity, from legal proceedings against us or our business, including governmental proceedings and consumer class action or other litigation, or the disclosure of information from security breaches or other incidents, could negatively impact our reputation and our brand, which could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15</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adversely affect our business and financial condition and results of operations. In addition, the actions of our third-party marketing partners who engage in advertising on our behalf could negatively impact our reputation and our various brands.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failure of our business to maintain or enhance its reputation and brand recognition and attract and retain consumers in a cost-effective manner could materially and adversely affect our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make decisions based on the best interests of our users in order to build long-term trust that may result in us forgoing short-term gains.</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One of our fundamental values is to build our business by making decisions based upon the best interests of our users, which we believe has been essential to our success in building user trust in our platform and increasing our user growth rate and engagement. We believe this best serves the long-term interests of our company and our stockholders. In the past, we have forgone, and we may in the future continue to forgo, certain expansion or short-term revenue opportunities that we do not believe are in the best interests of our platform and our users, even if such decisions adversely affect our results of operations in the short term. For example, we do not use impression-based advertising on our platform (i.e., where payment is based on digital views or engagement); we publish editorial content on topics that do not generate revenue for us, and our editorial team maintains editorial independence from our business teams. Reviews and ratings of financial services products are neither influenced by whether a product is offered on our platform nor by the pricing we may have with a financial services partner. However, this strategy of focusing on building long-term trust instead of short-term revenue opportunities may not result in the long-term benefits that we expect, in which case our user traffic and engagement, business, financial condition and results of operations could be harmed.</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compete in a highly competitive and rapidly evolving market with a number of other companies and we face the possibility of new entrants disrupting our market over time.</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currently compete with a number of companies that market financial services online, as well as with more traditional sources of financial information, and with financial institutions offering their products directly, and we expect that competition will intensify. Our online competitors include marketplaces such as Bankrate, Credit Karma, LendingTree, and Zillow, and we also face direct or indirect competition from providers of consumer personal finance guidance and online search engines. Some of these existing competitors may have more capital or complementary products or services than we do, and they may leverage their greater capital or diversification in a manner that adversely affects our competitive position, including by making strategic acquisitions. In addition, we also face the possibility of new competitors. New competitors may enter the market and may be able to innovate and bring products and services to market faster, or anticipate and meet consumer or financial services partner demand before we do. Other newcomers, including major search engines and content aggregators, may be able to leverage their existing products and services or access to data to our disadvantage. We may be forced to expend significant resources to remain competitive with current and potential competitors. If any of our competitors are more successful than we are at attracting and engaging users or financial services partners, our business, financial condition and results of operations could be materially and adversely affected.</w:t>
      </w:r>
    </w:p>
    <w:p>
      <w:pPr>
        <w:spacing w:after="0" w:line="1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recent international expansion subjects us to additional costs and risks which could harm our business, revenue and financial results, and our continued international expansion may be unsuccessful.</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Historically, all of our business has been generated in the United States and we have little experience operating internationally. In 2020, we entered the United Kingdom (UK) market with our acquisition of Notice Media Ltd. (doing business as Know Your Money), an online provider of financial guidance and tools based in the UK. We entered the Canadian market organically in the third quarter of 2021. We believe our growth strategy depends, in part, on our continued international expansion. We continue to adapt to and develop strategies to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16</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international markets, but there is no guarantee that such efforts will be successful. Our international operations and further international expansion are subject to a number of difficulties and risks, including:</w:t>
      </w:r>
    </w:p>
    <w:p>
      <w:pPr>
        <w:spacing w:after="0" w:line="116" w:lineRule="exact"/>
        <w:rPr>
          <w:sz w:val="20"/>
          <w:szCs w:val="20"/>
          <w:color w:val="auto"/>
        </w:rPr>
      </w:pPr>
    </w:p>
    <w:p>
      <w:pPr>
        <w:ind w:left="660" w:hanging="328"/>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challenges inherent to efficiently recruiting and retaining talented and capable employees in foreign countries and maintaining our company culture and employee programs across all of our offices, including those resulting from cultural differences and geographic dispersion;</w:t>
      </w:r>
    </w:p>
    <w:p>
      <w:pPr>
        <w:spacing w:after="0" w:line="9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and the UK Bribery Act of 2010 and other anti-corruption laws;</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 and other governmental entities;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difficulties identifying, obtaining, and maintaining the government approvals or licensures required to conduct our business in foreign markets;</w:t>
      </w:r>
    </w:p>
    <w:p>
      <w:pPr>
        <w:spacing w:after="0" w:line="194"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and the impact of local and regional financial crises on demand and payment for our products;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obtaining intellectual property protection, enforcing our intellectual property rights, and defending against third-party intellectual property infringement claims;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successfully addressing novel sources of competition, including in the context of foreign laws and business practices that may favor local companies;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managing fluctuations in currency exchange rates and foreign exchange controls;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adverse tax consequences, including multiple and possibly overlapping tax regimes, the complexities of foreign value-added tax systems, and changes in tax rates.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we continue to expand our international operations, our success will depend in large part on our ability to anticipate and effectively manage these risks, which in turn will require significant management attention and financial resources. If we are unable to successfully manage any of these risks, our international operations and any future international expansion could be compromised, which could harm our business, financial condition and results of operations. In addition, certain international markets are subject to significant political and economic uncertainty, including, for example, the UK, owing to the uncertain consequences of its withdrawal from the European Union (EU). Significant political and economic developments in international markets where we intend to operate, or the perception that any of them could occur, creates further challenges for operating in these markets.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making substantial investments in new product offerings and technologies, and expect to increase such investments in the future. These efforts are inherently risky, and we may never realize any expected benefits from them.</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made substantial investments to develop new product offerings and technologies, including our mobile application, personal finance management tools, our data infrastructure and our recommendation engine, and we intend to continue investing significant resources in developing new technologies, tools, features, services, products and product offerings. We expect to increase our investments in these new initiatives in the near term which may result in lower margins. Additionally, following our acquisition of Fundera, we plan to invest significant resources to integrate, develop and expand new offerings and technologies in the markets in which Fundera operates. We also expect to spend substantial amounts as we seek to grow the verticals in which we operate our platform and increase our scale, and to expand our offerings to additional geographic markets. If we do not spend our development budget efficiently or effectively on commercially successful and innovative technologies, we may not realize the expected benefits of our strategy. Our new initiatives also have a high degree of risk, as each involves strategies, technologies and regulatory requirements with which we have limited or no prior development or operating experience. There can be no assurance that consumer demand for such initiatives will exist or be sustained at the levels that we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17</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or that any of these initiatives will gain sufficient traction or market acceptance to generate sufficient revenue to offset any new expenses or liabilities associated with these new investments. It is also possible that product offerings developed by others will render our product offerings noncompetitive or obsolete. Further, our development efforts with respect to new product offerings and technologies could distract management from current operations, and will divert capital and other resources from our more established product offerings and technologies. Even if we are successful in developing new product offerings or technologies, regulatory authorities may subject us to new rules or restrictions in response to our innovations that could increase our expenses or prevent us from successfully commercializing new product offerings or technologies. If we do not realize the expected benefits of our investments, our business, financial condition and operating results may be harmed.</w:t>
      </w:r>
    </w:p>
    <w:p>
      <w:pPr>
        <w:spacing w:after="0" w:line="1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financial performance is dependent on our ability to successfully refer users to financial services partners, and these partners are not precluded from offering products and services outside of our platform.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earn revenue is dependent on referring users of our site to our financial services partners and our users seeking to transact with such partners. However, having obtained the information they were looking for in our editorial articles, tools and other product offerings, users may leave our platform and transact directly with a financial services partner or with another party. When users transact directly with financial services partners or another party, we are not able to earn revenue on these users’ transactions, limiting our ability to realize a return on our investments in product features and editorial articles which could harm our business, revenue and financial results.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we do not have exclusive relationships with our financial services partners, users may obtain financial products without having to use our platform. Our financial services partners may offer and market their products to prospective customers online directly through their own marketing campaigns or via other methods of distribution, including through our competitors. If a significant number of users seek financial products and services directly from our financial services partners or from our online competitors, as opposed to through our platform, our business, financial condition and results of operations could be adversely affected.</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the quality of our products, expand our product offerings or continue technological innovation and improvements, our prospects for future growth may be harmed.</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believe our success depends on users’ finding our product offerings to be of value to them. Our ability to attract and engage users depends, in part, on our ability to successfully expand our product offerings and editorial articles. For example, we initially built our content and began matching consumers with financial services providers in the credit card market, we later expanded into loan products and have continued to add other verticals since then. To penetrate new verticals, we will need to develop a deep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government regulation could limit our ability to introduce new product offerings. If we fail to penetrate new verticals successfully, our revenue may grow at a slower rate than we anticipate, and our business, financial condition and results of operations could be materially adversely affected. We must also continue to innovate and improve on our technology and product offerings in order to continue future growth and successfully compete with other companies in our markets, or our brand and future growth could be materially adversely affected.</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market for financial services products is rapidly evolving, fragmented and highly competitive. Competition in this market has intensified, and we expect this trend to continue as the list of financial services providers grows. There are many established and emerging technology centric financial services providers providing a multitude of products to consumers across all financial verticals. If we fail to successfully anticipate and identify new trends, products and emerging financial services providers, and provide up-to-date educational content, tools and other relevant resources timely, our ability to engage consumers and financial services providers may suffer, which would harm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lack of geographic diversity exposes us to risk.</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operations are geographically limited and primarily dependent upon consumers in the United States and economic conditions in the U.S. As a result of this geographical concentration, we are more vulnerable to downturns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other conditions that affect the U.S. economy. Any downturn or other adverse conditions in the U.S. economy could harm our business and financial results.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our acquisition of Know Your Money (KYM), we entered the UK market, and we believe our growth strategy depends, in part, on our continued international expansion. As we expand in the UK and internationally, we will be vulnerable to economic downturns or other conditions that affect the economy in the UK and in other countries where we expand. However, until our international operations expand significantly, we will continue to be primarily dependent on U.S. consumers and U.S. economic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less experience operating in some of the newer market verticals to which we have expanded.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expanded to new verticals over the last several years, including SMB products and insurance products. We do not have as much experience with these newer verticals as we do with the other more established verticals on our platform. Accordingly, newer verticals may be subject to greater risks than the more established verticals on our platform.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our entry into new verticals will depend on a number of factors, including:</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Implementing in a cost effective manner product features expected by consumers and financial services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an intermediary by consumers and financial services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collect amounts owed to us from our financial services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timely adjust marketing expenditures in relation to changes in demand for the underlying products and services offered by our financial services partners in these newer verticals.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results of operations may suffer if we fail to successfully anticipate and manage these issues associated with expansion into new verticals.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the data provided to us by users and third parties to operate and improve our product offerings, and if we are unable to maintain and grow the use of such data, we may be unable to provide users with a platform experience that is relevant and effective, which would harm our business, financial condition and results of operations.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analyze first-party data from users, third-party data from financial account aggregators and credit reports to understand our users’ unique financial situations. The large amount of information we use in operating and improving our platform is critical to the experience we provide for our users. If we are unable to maintain, grow and efficiently handle the data provided to us, the value that we provide to consumers and the quality of matches with financial services partners may be limited. In addition, if we do not maintain the quality, accuracy and timeliness of this information, user experience may suffer, which would harm our business, financial condition and results of operations.</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track certain operational metrics, which are subject to inherent challenges in measurement, and real or perceived inaccuracies in such metrics may harm our reputation and adversely affect our stock price, business, results of operations, and financial condition.</w:t>
      </w:r>
    </w:p>
    <w:p>
      <w:pPr>
        <w:spacing w:after="0" w:line="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track certain operational metrics, including metrics such as Monthly Unique Users (MUUs), which may differ from estimates or similar metrics published by third parties due to differences in sources, methodologies, or the assumptions on which we rely. Our internal systems and tools are subject to a number of limitations, and our methodologies for tracking these metrics may change over time, which could result in unexpected changes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19</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metrics, including the metrics we publicly disclose. If the internal systems and tools we use to track these metrics undercount or overcount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For example, the number of MUUs on our platform is based on activity associated with a unique device identifier during a certain time period. Certain individuals may have more than one device and therefore may be counted more than once in our count of Monthly Unique Users. Limitations or errors with respect to how we measure data or with respect to the data that we measure may affect our understanding of certain details of our business, which could affect our long-term strategies.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financial results and results of operations could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growth effectively.</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growth has placed, and may continue to place, significant demands on our management and our operational and financial resources. For example, we grew our employee base from 397 as of December 31, 2019 to 587 as of December 31, 2020 both organically and through our acquisitions. We have hired and expect to continue hiring additional personnel to support our rapid growth. Our organizational structure is becoming more complex as we add staff, and we will need to enhance our operational, financial and management controls as well as our reporting systems and procedures as we transition from being a private company to a public company. We will require significant capital expenditures and the allocation of valuable management resources to grow and change in these areas without undermining our corporate culture of rapid innovation, teamwork and attention to the user experience.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and the Consumer Finance Economy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conditions in the consumer finance markets, or poor or uncertain macroeconomic conditions, could harm our business, financial condition and results of operations.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is dependent on the consumer finance markets and the demand for the products offered by our financial services partners. Both our financial services partners and users may be affected by prevailing economic, political, market, health and social events or conditions. A decline in these conditions could impact our users, and could reduce their demand for credit cards, mortgage loans, personal loans, and other financial service products, which could ultimately impact our revenues. Similarly, during such conditions our financial services partners may tighten underwriting standards, implement cost-reduction initiatives that reduce or eliminate marketing budgets and decrease spending on our platform. Any of these events could adversely affect our business, financial condition and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Trends in the credit card industry, as well as the impact of the general economy on the ability of users to qualify for credit cards, could harm our business, financial condition and results of operations.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card market is an important part of our business. Our participation in this market is subject to particular risks, each of which could negatively affect our traffic and results of operations:</w:t>
      </w:r>
    </w:p>
    <w:p>
      <w:pPr>
        <w:spacing w:after="0" w:line="116" w:lineRule="exact"/>
        <w:rPr>
          <w:sz w:val="20"/>
          <w:szCs w:val="20"/>
          <w:color w:val="auto"/>
        </w:rPr>
      </w:pPr>
    </w:p>
    <w:p>
      <w:pPr>
        <w:jc w:val="both"/>
        <w:ind w:left="660" w:hanging="328"/>
        <w:spacing w:after="0" w:line="31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Adverse conditions in the economy may affect credit card issuers and their willingness to issue new credit which would negatively affect revenue. For example, beginning in the Spring of 2020 some credit card issuers tightened underwriting standards and reduced marketing budgets due to deteriorating economic conditions and rising unemployment caused by the COVID-19 pandemic and associated shelter-in-place orders;</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Credit losses among credit card issuers may increase beyond normal and budgeted levels which could cause a reduction in credit card issuers’ ability to extend credit;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 increases may make balance transfer cards less profitable for issuers, decreasing the fees we earn from matching users with such cards;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Credit card issuers may be unwilling to partner with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approval rates by credit card issuers due to tighter underwriting or other factors;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Decreases in consumer interest in credit card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provide competitive service to credit card issuers and to consumers using our platform;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develop new product offerings and enhance existing ones.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loan markets could harm our business, financial condition and results of operations.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loan market, including student loans, mortgages and personal loans, is an important part of our business. Fluctuations and constraints in the loan markets in the past have harmed, and may in the future, harm our business, financial condition and results of operations. Economic factors such as increased interest rates, slow economic growth or recessionary conditions, the pace of home price appreciation or the lack of it, changes in household debt levels, and increased unemployment or stagnant or declining wages can affect the loan markets. National or global events, including but not limited to the COVID-19 pandemic, can also affect such macroeconomic conditions. Such macroeconomic factors can affect the number of loan applications and loan approval rates which can adversely affect our business. For example, increases in interest rates adversely affect the ability of our mortgage partners to close loans due to lower consumer demand, and adverse economic trends may limit the ability of our mortgage partners to offer home loans other than low-margin conforming loans. Decreased consumer demand for mortgage refinancing typically leads to decreased traffic to our platform and results in higher associated marketing costs with generating traffic. Conversely, during periods with decreased interest rates, mortgage partners have less incentive to use our platform due to high consumer demand or in the case of sudden increases in consumer demand, our financial services providers may lack the ability to support such increases in volume. For example, in the Spring and Summer of 2020 the rapid surge in demand for mortgage refinancing due to low interest rates reached such levels that our mortgage partners did not have the capacity to process all of the demand, thus reducing the need to pay to acquire consumers, which in turn constrained our mortgage business. Situations like this could harm our business, financial condition and results of operations.</w:t>
      </w:r>
    </w:p>
    <w:p>
      <w:pPr>
        <w:spacing w:after="0" w:line="12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COVID-19 pandemic has negatively impacted our business and our business recovery will depend on future developments, which are uncertain and cannot be predicted, including the scope and duration of the pandemic and actions taken by governmental authorities in response to the pandemic.</w:t>
      </w:r>
    </w:p>
    <w:p>
      <w:pPr>
        <w:spacing w:after="0" w:line="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COVID-19 pandemic has negatively impacted the global economy and led to temporary closures of businesses and increased unemployment. In addition, the institution of social distancing and sheltering in place has adversely impacted the travel sector which has, in turn, reduced interest in credit cards that have travel-related benefits. The unstable socioeconomic backdrop has impacted consumer finances and caused some financial services providers to tighten underwriting standards. Consumer demand in our verticals, in particular credit cards, has been and may continue to be significantly impacted. Demand from our financial services partners has also impacted our credit card vertical market, as credit card issuers paused or limited their customer acquisition efforts with us during portions of 2020. For parts of the 2020 calendar year some of our financial services partners were slower to approve applications for products such as mortgages, and others reduced advertising budgets given the inherent economic uncertainty during the year. As a result of these factors, we experienced lower growth in 2020 as compared to 2019, particularly in the second half of the year.</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extent to which the COVID-19 pandemic will continue to impact our business, financial condition and results of operations depends on future developments, which are highly uncertain and cannot be predicted, including vaccine distribution, vaccine acceptance, the scope and duration of the pandemic and actions taken by governmental authorities and other third parties in response to the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21</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U.S. financial regulations, many of which are overlapping, ambiguous and still developing, which could subject us to claims or otherwise harm our business.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Aspects of our business are subject to a variety of federal and state financial and other laws, including laws and state licensing requirements relating to matching consumers with financial services providers and marketing of mortgages, credit cards, personal loans, insurance, and other financial products and services; privacy and data security; investment advisory services; and other laws that are frequently evolving and developing. The scope and interpretation of such laws are often uncertain and may be conflicting or ambiguous. It is difficult to predict how existing laws, some of which were enacted prior to the widespread adoption of the internet and mobile devices, will be applied to our business and the new laws to which we may become subject. In addition, as our business grows into new markets or expands and we collect, use and share more user data internally and with financial services partners, we may become subject to additional laws and regulations. With the new U.S. Presidential administration, we anticipate that federal regulators that are relevant to our business, such as the Federal Trade Commission and the Consumer Financial Protection Bureau, may pursue more enforcement actions as compared to the prior Presidential administration. In addition, Congress, federal agencies, state legislatures and state regulators may from time to time enact new laws, regulations or guidance that may harm our business.</w:t>
      </w:r>
    </w:p>
    <w:p>
      <w:pPr>
        <w:spacing w:after="0" w:line="1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we are not able to comply with applicable financial and other laws or regulations or if we become liable under these laws or regulations, we could be directly harmed, and we may be forced to implement new measures to reduce our exposure to this liability. This may require us to expend substantial resources or to discontinue certain products or features, which would negatively affect our business. In addition, negative publicity resulting from regulatory actions against us or others in our industry could harm our reputation or otherwise impact the growth of our business. Any costs incurred to prevent or mitigate this potential liability could also harm our business, financial condition and operating results.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Failure to obtain proper business licenses or other documentation or to otherwise comply with local laws and requirements regarding marketing or matching consumer with financial services providers, may result in civil or criminal penalties and restrictions on our ability to conduct business in that jurisdiction.</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Most states require companies to hold licenses in order to solicit or broker loans secured by residential mortgages, and in many cases require the licensure or registration of individual employees or contractors engaged in aspects of these businesses. States also require licenses to undertake certain insurance brokerage activities and in many cases require the licensure or registration of individual employees or contractors engaged in aspects of these activities. In addition, some states may require licenses to conduct similar activity with respect to commercial loans, credit cards and unsecured personal loans to residents of those states, although the applicability of these requirements to our business varies depending on our products as well as the loan products, terms, and the types of institutions that we partner with. Compliance with these requirements may render it more difficult for us and our financial services partners to operate or may raise our internal costs or the costs of our financial services partners, which may be passed on to us through less favorable commercial arrangements. While we have endeavored to comply with applicable requirements, the application of these requirements to persons operating online is not always clear and the failure to comply with any such applicable requirements may require us to expend significant capital and resources to investigate and remedy the noncompliance and subject us to litigation, regulatory enforcement action, fines, penalties, and other liability, which could adversely affect our business, financial condition and results of operations. Moreover, any of the licenses or rights currently held by us or our employees may be revoked prior to, or may not be renewed upon, their expiration. In addition, we or our employees may not be granted new licenses or rights for which they may be required to apply from time to time in the future.</w:t>
      </w:r>
    </w:p>
    <w:p>
      <w:pPr>
        <w:spacing w:after="0" w:line="13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Regulations promulgated by some states may also impose compliance obligations on directors, executive officers, and any person who acquires a certain percentage (for example, 10% or more) of the equity in a licensed entity,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22</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collect, store use and otherwise process personal information, including financial information and other sensitive data, which subjects us to governmental regulation and other legal obligations related to data privacy and security. Our actual or perceived failure to comply with such obligations could harm our business.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collect, store, use and process personal information and other user data, including financial information, credit report information and other sensitive information for our Registered Users. We rely on this data provided to us by users and third parties to offer, improve and innovate our products. If we are unable to maintain and grow such data we may be unable to provide consumers with a platform experience that is relevant, efficient and effective, which could adversely affect our business, financial condition and results of operations.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 are numerous federal, state and local laws and regulations regarding data privacy and the storing, sharing, use, processing, disclosure and protection of personal information and other user data, the scope of which are changing and subject to differing interpretations. In addition, as we continue to expand internationally, we are subject to foreign data privacy and security laws and regulations. These data privacy laws and regulations are complex, continue to evolve, and on occasion may be inconsistent between jurisdictions leading to uncertainty in interpreting such laws. We are also subject to the terms of our privacy policies and privacy-related obligations to third parties, and, given the recent change in administration, we expect a heightened level of scrutiny on the financial data we handle. It is possible that these laws, regulations, and other obligations may be interpreted and applied in a manner that is inconsistent from one regulatory body to another and may conflict with other rules or our practices.</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Most of the jurisdictions in which we operate have established their own data privacy and security legal frameworks. For example, in the U.S., we are subject to the Gramm–Leach–Bliley Act (GLBA) which governs non-public personal information of individuals who obtain financial products or services from financial institutions primarily for personal, family or household purposes as well as the Fair Credit Reporting Act (FCRA) which generally governs the collection of credit information and access to credit reports. These laws restrict the collection, use, storage and disposal of information about individuals that we may collect during the provision of our products and impose certain disclosure obligations on us. Failure to comply with these laws can result in regulatory fines or penalties. Certain of our products that are not otherwise subject to the GLBA or FCRA may be subject to additional laws and regulations. For example, the California Consumer Privacy Act (CCPA) created new data privacy rights for California-resident users that will be expanded when the California Privacy Rights Act (CPRA), which was approved in November 2020, goes into effect. In addition, Virginia recently passed the Consumer Data Protection Act, which will go into effect at the same time as CPRA and many other states are considering enacting privacy laws. These laws, as well as any associated regulations, may increase our operating costs and potential liability (particularly in the event of a data breach), delay or impede the development of new products, and have a material adverse effect on our business, including how we use information about individuals, our financial condition and the results of our operations or prospects.</w:t>
      </w:r>
    </w:p>
    <w:p>
      <w:pPr>
        <w:spacing w:after="0" w:line="1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we expand internationally, we will also be subject to international laws regarding privacy and the storing, sharing, use, processing, disclosure and protection of personal information and other user data. For example, following our recent expansion into the UK market, we are subject to privacy, data security, and data protection risks in connection with requirements of the UK’s data protection regime, consisting primarily of the Data Protection Act 2018 and the Data Protection, Privacy and Electronic Communications Regulations 2019 as amended by the Data Protection, Privacy and Electronic Communications Regulations 2020, or the UK GDPR, and other data protection regulations. Among other stringent requirements, the UK GDPR (like its EU counterpart) restricts transfers of data from the UK to third countries deemed to lack adequate privacy protections (such as the U.S.), unless an appropriate safeguard is implemented.</w:t>
      </w:r>
    </w:p>
    <w:p>
      <w:pPr>
        <w:spacing w:after="0" w:line="1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Brexit has created uncertainty with regard to the regulation of data protection in the UK. Although UK privacy, data protection and data security laws are designed to be consistent with the EU’s GDPR, uncertainty remains regarding how privacy, data protection, information security and data transfers to and from the UK will be regulated notwithstanding Brexit. For example, authorities in the UK may, like their EU counterparts, invalidate use of the EU-U.S. Privacy Shield and raise questions on the viability of the European Commission’s Standard Contractual Clauses. With substantial uncertainty over the interpretation and application of data transfer, privacy, data protection, and information security in the UK, we may face challenges in addressing their requirements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23</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making necessary changes to our policies and practices, and may incur significant costs and expenses in an effort to do so. Any failure or perceived failure by us to comply with applicable laws and regulations or any of our other legal obligations relating to privacy, data protection, or information security may result in governmental investigations or enforcement actions, litigation, claims, or public statements against us. Any of the foregoing could result in significant liability or cause our users to lose trust in us, any of which could have an adverse effect on our reputation, operations, financial performance and business. Furthermore, the costs of compliance with, and other burdens imposed by, the laws, regulations, and policies that are applicable to the businesses of our customers may limit the adoption and use of, and reduce the overall demand for, our products and services.</w:t>
      </w:r>
    </w:p>
    <w:p>
      <w:pPr>
        <w:spacing w:after="0" w:line="11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also subject to and actively taking steps to comply with evolving UK privacy laws on cookies and e-marketing. In the UK, informed consent is required for the placement of certain cookies or similar technologies on a user’s device and for direct electronic marketing and valid consent is tightly defined, including, a prohibition on pre-checked consents and, in the context of cookies, a requirement to obtain separate consents for each type of cookie or similar technology. Strict enforcement of these requirements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negatively impact our efforts to understand users and match them with products.</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failure or perceived failure by us to comply with our privacy policies, our privacy-related obligations to users or other third parties, or our privacy-related legal obligations, or any compromise of security that results in the unauthorized release or transfer of personally identifiable information or other user data, may result in governmental enforcement actions, litigation or negative publicity and could cause our users and financial partners to lose trust in us, which would have a material and adverse effect on our business. We may also be subject to remedies that may harm our business, including fines, demands or orders that we modify or cease existing or planned business practices.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economic and trade sanctions laws and regulations of the United States could materially adversely affect our reputation, business, financial condition and results of operations.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Human Capital</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executive team and other key employees to manage the business and the loss of one or more of these employees or an inability to attract and retain highly skilled employees could materially harm our business.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success depends largely upon the continued high performance of our executive team and other key employees. We rely on our executive team for leadership in critical areas of our business, including product development, engineering, marketing, security, business development, and general and administrative functions. The loss of one or more of our executives or key employees would have an adverse effect on our business. From time to time, there may be changes in executives due to hiring or departures, which could disrupt our business. We do not have employment agreements with executives or other key personnel that require them to continue to work for us for any specified period and, therefore, they could terminate their employment at any time.</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depend on our senior management, including Tim Chen, our Co-founder, Chief Executive Officer and Chairman of our board of directors, and Lauren StClair, our Chief Financial Officer, as well as other key personnel. We may not be able to retain the services of any of our senior management or other key personnel, as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24</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employment is at-will and they could leave at any time. If we lose the services of one or more of our senior management and other key personnel, including as a result of the COVID-19 pandemic, we may not be able to successfully manage our business, meet competitive challenges or achieve our growth objectives. Further, to the extent that our business grows, we will need to attract and retain additional qualified management personnel in a timely manner, and we may not be able to do so. Our future success depends on our continuing ability to identify, hire, develop, motivate, retain and integrate highly skilled personnel in all areas of our organization.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stiff competition for qualified personnel and if we fail to attract new personnel or fail to retain and motivate our current personnel, our business, financial condition and results of operations could be materially and adversely affected.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execute our growth plan, we must attract and retain highly qualified personnel. Competition for these personnel is intense, especially for engineers experienced in designing and developing online and mobile products. We have experienced and we expect to continue to experience difficulty in hiring and retaining employees with appropriate qualifications. To attract and retain top talent, we have had to offer, and we believe we will need to continue to offer, competitive compensation and benefits packages. Many of the companies with which we compete for experienced personnel have greater operating histories and resources than we have or are publicly traded which may make them more attractive to candidates.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attrition creates challenges as we must expend significant time and resources to identify, recruit, train and integrate new employees. If we are unable to retain qualified personnel or to effectively manage our hiring needs and successfully integrate new hires, then our efficiency, ability to meet forecasts, employee morale, productivity and retention could suffer, which could adversely affect our business.</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recently decided to allow our employees to work remotely on an indefinite basis and we plan to continue recruiting employees working remotely, which could result in reduced morale and cohesiveness and increased cybersecurity risk, which could negatively affect our business.</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the COVID-19 pandemic we transitioned all of our employees to a remote work environment in order to mitigate the spread of COVID-19 and comply with local shelter in place policies. Subsequently we adopted a new policy that allows for almost all roles to be open to remote employees on an ongoing basis, even if local shelter in place restrictions are lifted. The transition to remote work may reduce employee morale or cohesiveness among our employees while our company culture adjusts from a headquarters-centric company to a distributed workforce. In addition, our new remote employment policy may exacerbate certain risks to our business, including an increased demand for information technology resources, increased risk of phishing and other cybersecurity attacks, increased risk of unauthorized dissemination of sensitive information and increased complexity in coordinating the actions of the organization, any of which could adversely affect our business. As a result, our culture, information technology requirements, cybersecurity risk, and business operations could be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Security incidents, or real or perceived errors, failures or bugs in our systems and platform could impair our operations, compromise our confidential information or our users’ personal information, damage our reputation and brand, and harm our business and operating results.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continued success depends on our systems, applications, and software continuing to operate and to meet the changing needs of our customers and users and financial services partners. We rely on our technology and engineering staff and vendors to successfully implement changes to and maintain our systems and services in an efficient and secure manner. Like all information systems and technology, our platform may contain or develop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shutdown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25</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Operating our business and products involves the collection, storage, use and transmission of large volumes of sensitive, proprietary and confidential information, including financial and personal information, pertaining to our current, prospective and past users, as well as our staff, contractors, and business partners. The security measures we take to protect this information may be breached as a result of computer malware, viruses, social engineering, ransomware attacks, account takeover attacks, hacking and cyberattacks, including by state-sponsored and other sophisticated organizations. Such incidents have become more prevalent in recent years. Our security measures could also be compromised by our personnel, theft or errors, or be insufficient to prevent exploitation of security vulnerabilities in software or systems on which we rely. Such incidents may in the future result in unauthorized, unlawful or inappropriate use, destruction or disclosure of, access to, or inability to access the sensitive, proprietary and confidential information that we handle. These incidents may remain undetected for extended periods of time.</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Because there are many different cybercrime and hacking techniques and such techniques continue to evolve, we may be unable to anticipate attempted security breaches, react in a timely manner or implement adequate preventative measures. While we have developed systems and processes designed to protect the integrity, confidentiality and security of our and our users’ confidential and personal information under our control, we cannot assure you that any security measures that we or our third party service providers have implemented will be effective against current or future security threats.</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security breach or other security incident, or the perception that one has occurred, could result in a loss of confidence by both our users and financial services partners and damage our reputation and brand; reduce demand for our products; disrupt normal business operations; require us to expend significant capital and resources to investigate and remedy the incident and prevent recurrence; and subject us to litigation, regulatory enforcement action, fines, penalties, and other liability, which could adversely affect our business, financial condition and results of operations. Even if we take steps that we believe are adequate to protect us from cyber threats, hacking against our competitors or other companies in our industry could create the perception among our users and financial services partners that our digital platform is not safe to use. Security incidents could also damage our IT systems and our ability to make the financial reports and other public disclosures required of public companies. These risks are likely to continue to increase as we continue to grow and process, store and transmit an increasingly larger and larger volumes of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party service providers to support our platform and information technology systems.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rely on third-party service providers to provide critical services that help us deliver our products and operate our business, including hosting our platform. These providers may support or operate critical business systems for us or store or process the same sensitive, proprietary and confidential information that we handle. We do not have redundant network or rapid disaster recovery capabilities in most cases for the services provided by third-party service providers. These service providers may not have adequate security measures and could experience a security incident that compromises the confidentiality, integrity or availability of the systems they operate for us or the information they process on our behalf. Such occurrences could adversely affect our business to the same degree as if we had experienced these occurrences directly and we may not have recourse to the responsible third-party service providers for the resulting liability we incur.</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significant disruption to the infrastructure of our third-party service providers and/or any changes in our third-party service providers’ service levels may significantly impact our business operations, including making our platform unavailable to our users. A lengthy interruption in the availability of our platform would result in a loss of matches with our financial partners and corresponding revenue, which would impact our operating results and cash flow. In addition, it would negatively impact search engine ranking, user experience and our reputation with our financial partners. Furthermore, in the event that any of our agreements with our third-party service providers are terminated, we may experience significant costs or downtime in connection with the transfer to, or the addition of, new hosting providers. Although alternative providers could host our platform on a substantially similar basis, such transition could potentially be disruptive and we could incur significant costs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26</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infringed their proprietary technology or other intellectual property rights could harm our business.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Companies in the internet and technology industries are frequently subject to litigation based on allegations of infringement, misappropriation or other violations of intellectual property rights. In addition, certain companies and rights holders seek to enforce and monetize patents or other intellectual property rights they own, have purchased or have otherwise obtained. As we gain an increasingly high public profile, the possibility of intellectual property rights claims against us grows. Third parties have in the past and may in the future assert claims of infringement of intellectual property rights against us. Although we may have meritorious defenses, there can be no assurance that we will be successful in defending against these allegations or in reaching a business resolution that is satisfactory to us. Our competitors and others may now and in the future have patent portfolios that are used against us. In addition, future litigation may involve patent holding companies or other adverse patent owners who have no relevant product or service revenue and against whom our own patents may therefore provide little or no deterrence or protection. Many potential litigants, including some of our competitors and patent-holding companies, have the ability to dedicate substantial resources to the assertion of their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and financial condition.</w:t>
      </w:r>
    </w:p>
    <w:p>
      <w:pPr>
        <w:spacing w:after="0" w:line="11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With respect to any intellectual property rights claim, we may have to seek out a license to continue operations found or alleged to violate such rights,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or enforce our intellectual property rights could harm our business, financial condition and results of operations.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strive to protect our intellectual property rights by relying on a combination of federal, state and common law trademark, copyright, and trade secret protection laws, as well as contractual restrictions and business practices. In particular, we must maintain and protect the “NerdWallet” name and related marks and intellectual property and also police copying of our editorial articles. In addition, we typically enter into confidentiality and invention assignment agreements with employees and contractors, and confidentiality agreements with parties with whom we conduct business in order to limit access to, and disclosure and use of, our confidential or proprietary information. However, these contractual arrangements and the other steps we have taken to protect our intellectual property may not prevent the misappropriation or disclosure of our proprietary information nor deter independent development of similar technologies by others. Failure to protect or maintain our intellectual property could harm our business, financial condition and results of operations.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our content, software and other works may be protected under copyright law, we have chosen not to register any copyrights in these works. In order to bring a copyright infringement lawsuit in the United States, the copyright must be registered. Accordingly, the remedies and damages available to us for unauthorized use of our software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27</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license third-party software and other intellectual property for use in connection with our platform, including for various third party product integrations with our platform. Our third party licenses typically limit our use of intellectual property to specific uses and include other contractual obligations with which we must comply. These licenses may need to be renegotiated or renewed from time to time, or we may need to obtain new licenses in the future. Third parties may stop adequately supporting or maintaining their offerings or they or their technology may be acquired by our competitors. If we are unable to obtain licenses to these third-party software and intellectual property on reasonable terms or at all, the functionalities available through our platform may be adversely impacted, which could in turn harm our business. Further, if we or our third-party licensors were to breach any material term of a license, such a breach could, among other things, prompt costly litigation, result in the license being invalidated and or result in fines and other damages. If any of the following were to occur, it could harm our business, financial results and our reputation.</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infringement claims brought by third parties against our licensors or against us, our ability to provide functionalities through our platform using such intellectual property could be severely limited and our business could be harmed. Furthermore, regardless of outcome, infringement claims may require us to use significant resources and may divert management’s attention.</w:t>
      </w:r>
    </w:p>
    <w:p>
      <w:pPr>
        <w:spacing w:after="0" w:line="13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rely on operating system providers and app stores to support our platform, and any disruption, deterioration or change in their services, policies, practices, guidelines and/or terms of service could have a material adverse effect on our business, financial condition and results of operations.</w:t>
      </w:r>
    </w:p>
    <w:p>
      <w:pPr>
        <w:spacing w:after="0" w:line="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success of our platform depends upon the effective operation of certain mobile operating systems, networks and standards that are run by operating system providers and app stores, or Providers. We do not control these Providers and, as a result, we are subject to risks and uncertainties related to the actions taken, or not taken, by these Providers. We largely utilize Android-based and iOS-based technology for our digital application platform. If any Providers, including either Google (for Android) or Apple (for iOS) stop providing us with access to their platform or infrastructure, fail to provide reliable access, cease operations, modify or introduce new systems, change or interpret their terms of service, guidelines or policies, or otherwise terminate services, the delay caused by qualifying and switching to other operating systems could be time consuming and costly and could materially and adversely affect our business, financial condition and results of operations. In addition, Providers may limit the use of personal information and other data for advertising purposes or restrict how users can share information on their platform or across other platforms, which could materially and adversely affect our business, financial condition and results of operations or otherwise require us to change the way we conduct our business. Any limitation on or discontinuation of our or our users’ access to any Provider’s platform or app store could materially and adversely affect our business, financial condition, results of operations or otherwise require us to change the way we conduct our business.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may pose particular risks to our proprietary software, products, and services in a manner that could have a negative effect on our business.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use open source software in our platform and anticipate continuing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28</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 source software.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cannot be sure that all of our use of open source software is in a manner that is consistent with our current policies and procedures, or will not subject us to liability. Any of these risks could be difficult to eliminate or manage, and, if not addressed, would have a negative effect on our business, financial condition and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Operations and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certain restrictions that may limit our ability to operate our business.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terms of our existing credit agreement and the related collateral documents with Silicon Valley Bank (SVB) as administrative agent contain, and any future indebtedness may contain, a number of restrictive covenants that impose significant operating and financial restrictions on us, including restrictions on our ability, and the ability of our subsidiaries, to take actions that may be in our best interests, including, among others, disposing of assets, entering into change of control transactions, mergers or acquisitions, incurring additional indebtedness, granting liens on our assets, declaring and paying dividends and agreeing to do any of the foregoing. Our credit agreement requires us to satisfy specified financial covenants, including a minimum adjusted quick ratio, tested monthly, and a minimum consolidated adjusted EBITDA covenant, tested quarterly. Our ability to meet those financial covenants can be affected by events beyond our control, and we may not be able to continue to meet those covenants. A breach of any of these covenants or the occurrence of other events (including an event or condition that has had a material adverse effect (as defined in the credit agreement)) specified in the credit agreement and/or the related collateral documents could result in an event of default under the credit agreement. Upon the occurrence of an event of default, SVB and/or our lenders under the credit agreement could elect to declare all amounts outstanding under the credit agreement, if any, to be immediately due and payable and terminate all commitments to extend further credit. If we were unable to repay those amounts, SVB and our lenders could proceed against the collateral granted to them to secure such indebtedness, which consists of all of our assets other than our intellectual property. We have, and certain of our subsidiaries have, pledged substantially all of our respective assets as collateral under the loan documents. If SVB and our lenders accelerate the repayment of borrowings, if any, we may not have sufficient funds to repay our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existing debt agreement may not be sufficient for our capital needs and we may require additional capital to support business growth, which might not be available on acceptable terms, if at all.</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we may require additional funds to continue to do so. Depending on availability of capital under our existing debt facility, profitability and cash flow,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satisfactory terms when required, our ability to continue to support our business growth and respond to business challenges could be significantly impaired, delayed or abandoned, and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29</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 unable to make acquisitions and investments, successfully integrate acquired companies into our business, or our acquisitions and investments may not meet our expectations, any of which could adversely affect our business, financial condition, and results of operations.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acquired KYM and Fundera in the third and fourth quarters of 2020, respectively. We do not have extensive experience acquiring and integrating other businesses and technologies and there are inherent risks in integrating the acquired personnel, operations and technologies and managing the combined business effectively following the acquisition.</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in the future acquire or invest in, businesses, offerings, technologies, or talent that we believe could complement or expand our existing product offerings, enhance our technical capabilities, or otherwise offer growth opportunities. The pursuit of future potential acquisitions and investments may divert the attention of management and cause us to incur significant expenses related to identifying, investigating, and pursuing suitable acquisitions and investments, whether or not they are consummated. Furthermore, even if we successfully acquire or invest in additional businesses or technologies, we may not achieve the anticipated benefits or synergies due to a number of factors, including, without limitation:</w:t>
      </w:r>
    </w:p>
    <w:p>
      <w:pPr>
        <w:spacing w:after="0" w:line="122" w:lineRule="exact"/>
        <w:rPr>
          <w:sz w:val="20"/>
          <w:szCs w:val="20"/>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 including claims related to the acquired company, its product offerings, or technology;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incurrence of acquisition-related or investment-related expenses, which would be recognized as a current period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maintain relationships with customers and partners of the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maintaining quality and security standards consistent with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identify security vulnerabilities in acquired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achieve anticipated synergies or unanticipated difficulty with integration into our corporate culture;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integrate or implement additional controls, procedures, and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caused by distance and cultural differences;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harm to our existing business relationships with business partners as a result of the acquisition or investment;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 diversion of management and employee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complexity in accounting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or the incurrence of debt to consummate the acquisition;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that may arise out of earn-outs, escrows, and other arrangements related to an acquisition of a company.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Acquisitions also increase the risk of unforeseen legal liability, including for potential violations of applicable law or industry rules and regulations, arising from prior or ongoing acts or omissions by the acquired businesses that are not discovered by due diligence during the acquisition process. In addition, our acquisition agreements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30</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KYM and Fundera contain earn-out provisions. Disputes over whether the earn-out targets have been met could lead to litigation, management distraction and significant expense.</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may have to pay cash, incur additional debt, or issue equity to pay for any future acquisitions or investments, each of which could adversely affect our financial condition. The sale of equity to finance any future acquisitions or investments could result in dilution to our stockholders. The incurrence of additional indebtedness would result in increased fixed obligations and could also include additional covenants or other restrictions that would impede our ability to manage our operations. Any of the foregoing could adversely affect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agreements contain contingent consideration, the value of which may impact future operating results.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acquisition agreements include contingent earn-out consideration, the fair value of which was estimated as of the acquisition date based on the then-present value of the expected contingent payments as determined using weighted probabilities of possible future payments. These fair value estimates contain unobservable inputs and estimates that could materially differ from the actual future results. The fair value of the contingent earn-out consideration could increase or decrease, up to the contracted limit, as applicable. Changes in the fair value of contingent earn-outs will be reflected in our results of operations in the period in which changes in value occur, the amount of which may be material and cause volatility in our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or liabilities resulting from litigation could materially adversely affect our results of operations and financial condition.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and may become party to various legal proceedings and other claims that arise in the ordinary course of business, or otherwise in the future. Such matters are subject to many uncertainties and outcomes are not predictable with assurance. In addition, any such claims or litigation may be time-consuming and costly, divert management resources, require us to change our platform or have other adverse effects on our business. While we cannot assure the ultimate outcome of any legal proceeding or contingency in which we are or may become involved, we do not believe that any pending legal claim or proceeding arising in the ordinary course will be resolved in a manner that would have a material adverse effect on our business. However, if one or more of these legal matters resulted in an adverse monetary judgment against us, such a judgment could harm our results of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grow at historical rates or achieve or maintain profitability in the future.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not realize sufficient revenue to achieve or maintain profitability. As we grow our business, we expect our revenue growth rates may slow in future periods due to a number of reasons, which may include slowing demand for our service, increasing competition, a decrease in the growth of our overall markets, and our failure to capitalize on growth opportunities or the maturation of our business. Our growth rate may slow for a number of reasons, including insufficient growth or a decline in the number of users increasing competition, as well as other risks described in these Risk Factors, and we may encounter unforeseen expenses, difficulties, complications and delays and other unknown factors. We expect to continue to make investments in the development and expansion of our business, which may not result in increased or sufficient revenue or growth, as a result of which we may not be able to achieve or maintain sustained profitability.</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made significant estimates and judgments in calculating our income tax provision and other tax assets and liabilities. If these estimates or judgments are incorrect, our operating results and financial condition may be materially affected.</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subject to regular review and audit by both domestic and foreign tax authorities. Any adverse outcome of such a review or audit could have a negative effect on our operating results and financial condition. In addition, the determination of our provision for income taxes and other tax assets and liabilities requires significant judgment, and there are many transactions and calculations where the ultimate tax determination is uncertain at the present time. Although we believe our estimates and judgments are reasonable, the ultimate tax outcome may differ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31</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amounts recorded in our financial statements and may have a material effect on our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December 31, 2020, we had federal net operating loss carryforwards of approximately $31.6 million, of which $13.1 million, if not utilized, will begin to expire in 2033, and the remaining $18.5 million can be carried forward indefinitely. As of December 31, 2020, we had state net operating loss carryforwards of approximately $17.4 million, the majority of which, if not utilized, will begin to expire on various dates beginning in 2032. In addition, we have approximately $8.8 million and $10.6 million of federal and California research and development credit carryforwards, respectively. The federal credits will start to expire in 2037, while the California credits can be carried forward indefinitely. If we experience one or more ownership changes in the future as a result of future transactions in our stock, our ability to utilize net operating loss carryforwards could be limited. Under the Tax Cuts and Jobs Act of 2017, as modified by the Coronavirus Aid, Relief, and Economic Security (CARES) Act, U.S. federal net operating losses incurred in taxable years beginning after December 31, 2017, may be carried forward indefinitely, but the deductibility of such federal net operating losses in taxable years beginning after December 31, 2020, is limited.</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Utilization of our net operating loss carryforwards, as well as of our other temporary differences, is dependent upon the generation of sufficient taxable income in future periods. In our ongoing assessment of all available evidence, both positive and negative, we consider the scheduled reversal of deferred tax liabilities, our future operating model and the expected impacts on our profitability, and prudent and feasible tax planning strategies. During the quarter ended September 30, 2021, we established a valuation allowance against our net U.S. deferred tax assets of $13.2 million as we believe that it is more likely than not that we will not be able to realize such net deferred tax assets. Our judgment regarding the likelihood of realization of these deferred tax assets could change in future periods, which could result in a material impact to our income tax provision in the period of change,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Co-Founder, CEO and Chairman of our board of directors, Tim Chen, which will limit or preclude your ability to influence corporate matters.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Class B common stock has ten votes per share, and our Class A common stock, which is the stock we are offering in our initial public offering, has one vote per share. Tim Chen, our co-founder, chief executive officer and chairman of our board of directors and his affiliated trusts hold all outstanding shares of Class B common stock, which will constitute approximately 90.6% of the voting power of our outstanding capital stock following our initial public offering, based on the number of shares outstanding as of September 30, 2021.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governance matters and transactions for the foreseeable future.</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Future transfers by holders of Class B common stock will generally result in those shares converting to Class A common stock, subject to limited exceptions, such as certain transfers effected for tax or estate planning purposes. The conversion of Class B common stock to Class A common stock will have the effect, over time, of increasing the relative voting power of those holders of Class B common stock who retain their shares in the long-term. If, for example, Mr. Chen retains a significant portion of his holdings of Class B common stock for an extended period of time, he could, in the future, continue to control a majority of the combined voting power of our Class A common stock and Class B common stock.</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Mr. Chen and his affiliated trusts have the ability to control the outcome of all matters submitted to our stockholders for approval, including the election, removal, and replacement of directors and any merger, consolidation, or sale of all or substantially all of our assets. If Mr. Chen’s employment with us is terminated, he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32</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continue to have the ability to exercise the same significant voting power and potentially control the outcome of all matters submitted to our stockholders for approval. Mr. Chen’s and his affiliated trusts’ shares of Class B common stock will automatically convert into Class A common stock, on a one-to-one basis, upon any sale or transfer of the applicable shares (other than transfers to certain permitted entities) or upon his death. This concentrated control could delay, defer, or prevent a change of control, merger, consolidation, or sale of all or substantially all of our assets that our other stockholders support. Conversely, this concentrated control could allow Mr. Chen to consummate such a transaction that our other stockholders do not support. In addition, Mr. Chen may make long-term strategic investment decisions and take risks that may not be successful and may seriously harm our business.</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our CEO, Mr. Chen has control over our day-to-day management and the implementation of major strategic investments of our company, subject to authorization and oversight by our board of directors. As a board member and officer, Mr. Chen owes a fiduciary duty to our stockholders and must act in good faith in a manner he reasonably believes to be in the best interests of our stockholders. As a stockholder, Mr. Chen and his affiliated trusts are entitled to vote their shares, and shares over which they have voting control, in their own interests, which may not always be in the interests of our stockholders generally. For a description of the rights of the Class A common stock and Class B common stock, see the section titled “Description of Capital Stock.”</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Nasdaq Listing Rules and, as a result, will be exempt from certain corporate governance requirements.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the completion of this offering, Mr. Chen and his affiliated trusts will hold capital stock representing a majority of our outstanding voting power. So long as Mr. Chen and his affiliated trusts maintain holdings of more than 50% of the voting power of our capital stock for the election of directors, we will be a “controlled company” within the meaning of the Nasdaq Listing Rules and Nasdaq corporate governance standards. Under these standards, a listed company of which more than 50% of the voting power is held by an individual, group or another company is a “controlled company” and may elect not to comply with certain Nasdaq corporate governance requirements, including:</w:t>
      </w:r>
    </w:p>
    <w:p>
      <w:pPr>
        <w:spacing w:after="0" w:line="13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as defined under Nasdaq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or otherwise have director nominees selected by vote of a majority of the independent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intend to use these exemptions following this offering. As a result, following this offering, we do not intend to have a compensation committee composed entirely of independent directors, nor do we intend to have a nominating and corporate governance committee or an independent nominating function. Our full board of directors will be directly responsible for nominating members of our board.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Even as a controlled company, we will remain subject to the rules of Sarbanes-Oxley as well as the Nasdaq Listing Rules that require us to have an audit committee composed entirely of independent directors, subject to permitted phase-in rules. Under these phase-in rules, we are required to have one independent audit committee member upon the listing date of our Class A common stock, a majority of independent audit committee members within 90 days from the listing date and all independent audit committee members within one year from the listing date. Upon our listing, we expect that our audit committee will be comprised of three members, two of whom will be independent.</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no longer eligible to rely on the “controlled company” exceptions, we will need to comply with all applicable Nasdaq corporate governance requirements, but we will be able to rely on phase-in periods for certain of these requirements in accordance with the Nasdaq Listing Rules. Accordingly, our stockholders may not have the same protections afforded to stockholders of companies that are subject to all Nasdaq corporate governance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33</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Class A common stock or what the market price of our Class A common stock will be, and as a result it may be difficult for you to sell your shares of our Class A common stock.</w:t>
      </w:r>
    </w:p>
    <w:p>
      <w:pPr>
        <w:spacing w:after="0" w:line="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Prior to this offering there has been no public market for shares of our Class A common stock. An active trading market for our shares may never develop or be sustained following this offering. You may not be able to sell your shares quickly or at the market price if trading in shares of our Class A common stock is not active. The initial public offering price for our Class A common stock will be determined through negotiations with the underwriters, and the negotiated price may not be indicative of the market price of the Class A common stock after the offering. As a result of these and other factors, you may be unable to resell your shares of our Class A common stock at or above the initial public offering price. Further, an inactive market may also impair our ability to raise capital by selling shares of our Class A common stock and may impair our ability to enter into strategic partnerships or acquire companies or products by using our shares of Class A common stock as consideration.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cannot predict whether our dual class structure, combined with the concentrated control of our co-founder, chief executive officer and chairman of our board of directors, Tim Chen, and his affiliated trusts,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trading price of our Class A common stock could be volatile, and you could lose all or part of your investment. The following factors, in addition to other factors described in this “Risk Factors” section and included elsewhere in this prospectus, may have a significant impact on the market price of our Class A common stock:</w:t>
      </w:r>
    </w:p>
    <w:p>
      <w:pPr>
        <w:spacing w:after="0" w:line="13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operating and financial performance, quarterly or annual earnings relative to similar companies;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competitors or our industry, or positive or negative recommendations or withdrawal of research coverage by securities analysts;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business plans or commercial relationships;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Class A common stock by us, our directors, executive officers, principal stockholders, or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refinance or securities we may issue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Class A common stock;</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capital market risks related to changes in interest rates, realized investment losses, credit spreads, equity prices, and foreign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34</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creditworthiness, financial condition, performance, and prospects;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dividend policy and whether dividends on our Class A common stock have been, and are likely to be, declared and paid from time to time;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our Class A common stock relative to other investment alternatives;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or legal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conditions or trends in our industry, geographies 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threatened or actual litigation or government investigations.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broad market and industry factors may negatively affect the market price of our Class A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harm our business, financial condition, results of operations or prospects. Any adverse determination in litigation could also subject us to significant liabilities.</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may fluctuate on a quarterly and annual basis, which may impact our stock price and make it difficult to predict our future performance.</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users using our platform to apply for or sign up for financial services products as well as fluctuations in the timing and amount of our expenses. Fluctuations and variability across our industry and the general economy may also affect our revenue. As a result, comparing our results of operations on a period-to-period basis may not be meaningful, and the results of any one period should not be relied on as an indication of future performance. Our results of operations may not meet the expectations of investors or public market analysts who follow us, which may adversely affect our stock price. In addition to other risk factors discussed in this “Risk Factors” section and elsewhere in this prospectus, factors that may contribute to the variability of our quarterly and annual results include:</w:t>
      </w:r>
    </w:p>
    <w:p>
      <w:pPr>
        <w:spacing w:after="0" w:line="13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new users and retain existing users, including in a cost-effective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accurately forecast revenue and losses and appropriately plan our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changes in search engine algorithms and prominence of our editorial articles in search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maintain our position in and expand in existing markets as well as successfully enter new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and changes in, governmental or other regulation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effectively manage that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sales and marketing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35</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protect our existing intellectual property and to create new intellectual property;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associated with defending claims, including accident and coverage claims, intellectual property infringement claims, misclassifications and related judgments or settlements;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internal controls;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tax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Class A common stock in this offering, you will incur immediate and substantial dilution in the book value of your shares.</w:t>
      </w:r>
    </w:p>
    <w:p>
      <w:pPr>
        <w:spacing w:after="0" w:line="1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initial public offering price is substantially higher than the pro forma as adjusted net tangible book value per share of our Class A common stock. Investors purchasing Class A common stock in this offering will pay a price per share that substantially exceeds the pro forma as adjusted book value of our tangible assets after subtracting our liabilities. Based on the assumed initial public offering price of $18.00 per share, which is the midpoint of the estimated price range set forth on the cover page of this prospectus, you will experience immediate dilution of $15.47 per share, representing the difference between our pro forma as adjusted net tangible book value per share after this offering and the initial public offering price per share. After this offering, we will also have outstanding options to purchase Class A common stock with exercise prices lower than the initial public offering price. To the extent these outstanding options are exercised, there will be further dilution to investors in this offering. See the section titled “Dilution” for additional information.</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there could be additional dilution to new investors in this offering to the extent Series A Preferred Stock Additional Issuance Shares are issued in connection with this offering. See the section titled “Dilution — Series A Preferred Stock Additional Issuance.”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1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completion of this offering, (b) in which we have total annual gross revenue of at least $1.07 billion or</w:t>
      </w:r>
    </w:p>
    <w:p>
      <w:pPr>
        <w:spacing w:after="0" w:line="2" w:lineRule="exact"/>
        <w:rPr>
          <w:sz w:val="20"/>
          <w:szCs w:val="20"/>
          <w:color w:val="auto"/>
        </w:rPr>
      </w:pPr>
    </w:p>
    <w:p>
      <w:pPr>
        <w:jc w:val="both"/>
        <w:ind w:firstLine="8"/>
        <w:spacing w:after="0" w:line="255"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which we are deemed to be a large accelerated filer, which requires the market value of our Class A common stock that is held by non-affiliates to exceed $700 million as of the prior June 30th, and (2) the date on which we have issued more than $1 billion in non-convertible debt during the prior three-year period.</w:t>
      </w:r>
    </w:p>
    <w:p>
      <w:pPr>
        <w:spacing w:after="0" w:line="13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If some investors find our Class A common stock less attractive as a result, there may be a less active trading market for our Class A common stock, and our stock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36</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public company, we will be subject to more stringent federal and state law requirements.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the Sarbanes-Oxley Act, the Dodd–Frank Act, the listing requirements of Nasdaq and other applicable securities rules and regulations. Despite reforms made possible by the JOBS Act, compliance with these rules and regulations will nonetheless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w:t>
      </w:r>
    </w:p>
    <w:p>
      <w:pPr>
        <w:spacing w:after="0" w:line="13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a result of disclosure of information in this prospectus and in filings required of a public company, our business and financial condition will become more visible, which we believe may result in threatened or actual litigation, including by competitors and other third parties. If such claims are successful, our business, results of operations, financial condition and prospects could be harmed, and even if the claims do not result in litigation or are resolved in our favor, these claims, and the time and resources necessary to resolve them, could divert the resources of our management and adversely affect our brand and reputation, business, results of operations, financial condition and prospects. We also expect that being a public company and the associated rules and regulations will make it more expensive for us to obtain director and officer liability insurance, and we may be required to accept reduced coverage or incur substantially higher costs to obtain adequate coverage. These factors could also make it more difficult for us to attract and retain qualified members of our board of directors, particularly to serve on our audit committee and compensation committee, and qualified executive officers.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for the foreseeable future.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never declared or paid cash dividends on our capital stock, and do not anticipate paying any cash dividends in the foreseeable future. We currently intend to retain future earnings, if any, to fund the development and growth of our business. Any future determination to pay dividends will be at the discretion of the Board of Directors and will be dependent upon our financial condition, results of operations, capital requirements, applicable contractual restrictions and such other factors as the Board of Directors may deem relevant.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The failure by our management to apply these funds effectively could harm our business. Pending their use, we may invest the net proceeds from this offering in short- and intermediate-term, interest-bearing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investor relations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 and regulatory reform may also lead to substantial new regulations and disclosure obligations, which may in turn lead to additional compliance costs and impact the manner in which we operate our business in ways we do not currently anticipate. Our management and other personnel will need to devote a substantial amount of time to comply with these requirements. Moreover, these requirements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37</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w:t>
      </w:r>
    </w:p>
    <w:p>
      <w:pPr>
        <w:spacing w:after="0" w:line="13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Pursuant to Section 404 of the Sarbanes-Oxley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The rules governing the standards that must be met for management to assess our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We are currently in the process of hiring additional accounting and finance staff as we grow our business. If we are unable to hire the additional accounting and finance staff necessary to comply with these requirements, we may need to retain additional outside consultants. If we or, if required, our auditors, are unable to conclude that our internal control over financial reporting is effective, investors may lose confidence in our financial reporting and the trading price of our Class A common stock may decline.</w:t>
      </w:r>
    </w:p>
    <w:p>
      <w:pPr>
        <w:spacing w:after="0" w:line="12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by our existing stockholders in the public market could cause our stock price to fall.</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If our existing stockholders sell, or indicate an intention to sell, substantial amounts of our Class A common stock in the public market after the lock-up and other legal restrictions on resale discussed in this prospectus lapse, the trading price of our Class A common stock could decline. Based on shares outstanding as of September 30, 2021, upon the closing of this offering, we will have outstanding a total of 25,811,689 shares of Class A common stock (including shares of our redeemable convertible preferred stock on an as-converted basis, assuming a 1:1 conversion) and 31,685,652 shares of Class B common stock. Of these shares, only the shares of Class A common stock sold in this offering by us, plus any shares sold upon exercise of the underwriters’ option to purchase additional shares, will be freely tradable without restriction in the public market immediately following this offering. All of our executive officers and directors and the holders of substantially all the shares of our Class A common stock and securities convertible into or exchangeable for our Class A common stock have entered into market standoff agreements with us or have entered or will enter into lock-up agreements with the underwriters that restrict their ability to transfer shares of our Class A common stock and securities convertible into or exchangeable for our Class A common stock during the period ending on, and including, the 180th day after the date of this prospectus, subject to specified exceptions; provided that such restricted period will end with respect to 25% of the vested shares subject to lock-up agreements of our current or former employees, current directors or officers (excluding our chief executive officer and chief financial officer) and any other security holders on the third trading day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38</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our first public release of earnings if the last reported closing price of our Class A common stock is at least 20% greater than the initial public offering price for (i) 10 out of any 15 consecutive trading days immediately prior to such public release of earnings and (ii) the last trading day immediately prior to the early release date. Morgan Stanley &amp; Co. LLC and KeyBanc Capital Markets Inc. may permit our stockholders who are subject to these lock-up agreements to sell shares prior to the expiration of the lock-up agreements. If not earlier released, all of the shares of Class A common stock will become eligible for sale upon expiration of the 180-day lock-up period, except for any shares held by our affiliates as defined in Rule 144 under the Securities Act. See the section titled “Underwriters” for more information on the lock-up agreements.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Shares of Class A common stock that are either subject to outstanding options or restricted stock unit awards will become eligible for sale in the public market to the extent permitted by the provisions of various vesting schedules, the market standoff and lock-up agreements described above and Rule 144 and Rule 701 under the Securities Act of 1933, as amended, or the Securities Act. If these additional shares of Class A common stock are sold, or if it is perceived that they will be sold, in the public market, the trading price of our Class A common stock could decline.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this offering, the holders of 15,613,994 shares of our capital stock will be entitled to rights with respect to the registration of their shares under the Securities Act, subject to the lock-up agreements described above. See the section titled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harm the trading price of our Class A common stock.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trading market for our Class A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that will become effective upon the closing of this offering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the following:</w:t>
      </w:r>
    </w:p>
    <w:p>
      <w:pPr>
        <w:spacing w:after="0" w:line="141" w:lineRule="exact"/>
        <w:rPr>
          <w:sz w:val="20"/>
          <w:szCs w:val="20"/>
          <w:color w:val="auto"/>
        </w:rPr>
      </w:pPr>
    </w:p>
    <w:p>
      <w:pPr>
        <w:jc w:val="both"/>
        <w:ind w:left="6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a dual class common stock structure, which provides Mr. Chen and his affiliated trusts with the ability to control the outcome of matters requiring stockholder approval, even if he owns significantly less than a majority of the shares of our outstanding Class A and Class B common stock;</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only our chairperson, our chief executive officer, a holder of more than 21,000,000 shares of Class B common stock (subject to adjustment for stock splits, stock dividends, stock combinations and the like), or a majority of our board of directors will be authorized to call a special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39</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procedures will apply for stockholders to nominate candidates for election as directors or to bring matters before an annual meeting of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restated certificate of incorporation will authorize undesignated preferred stock, the terms of which may be established, and shares of which may be issued, without stockholder approval;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These provisions may also prevent changes in our management or limit the price that investors are willing to pay for our stock.</w:t>
      </w:r>
    </w:p>
    <w:p>
      <w:pPr>
        <w:spacing w:after="0" w:line="1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regarding these and other provisions, see the section titled “Description of Capital Stock—Anti-Takeover Effects of Delaware Law and Our Certificate of Incorporation and Bylaws.”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that will become effective upon the closing of this offering will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spacing w:after="0" w:line="9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amended and restated bylaws that will be in effect upon the completion of this offering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we maintain directors’ and officers’ liability insurance, such insurance may not be adequate to cover all liabilities that we may incur, which may reduce our available funds to satisfy third-party claims and may adversely impact our cash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40</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that will become effective upon the completion of this offering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that will become effective upon the completion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w:t>
      </w:r>
    </w:p>
    <w:p>
      <w:pPr>
        <w:spacing w:after="0" w:line="13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claim or cause of action for breach of a fiduciary duty owed by any of our current or former directors, officers or other employees to us or our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arising out of or pursuant to any provision of the DGCL, our certificate of incorporation or our bylaws;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claim or cause of action seeking to interpret, apply, enforce or determine the validity of our certificate of incorporation or our bylaws;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action or proceeding as to which the DGCL confers jurisdiction to the Court of Chancery of the State of Delaware;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that will become effective upon the completion of this offering will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41</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statements concerning the following:</w:t>
      </w:r>
    </w:p>
    <w:p>
      <w:pPr>
        <w:spacing w:after="0" w:line="13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total revenue, costs of revenue, Adjusted EBITDA and MUUs;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grow traffic and engagement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convert users into Registered Users and improve repeat user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convert consumers into matches with financial services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grow within existing and new verticals;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expand geographically;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maintain and expand our relationships with our existing financial services partners and to identify new financial services partners;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build efficient and scalable technical capabilities to deliver personalized guidance and nudge users;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and enhance our brand awareness and consumer trust;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high quality, engaging consumer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adapt to the evolving financial interests of consumers;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 verticals;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identify, attract and retain highly skilled, diverse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42</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43</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contains estimates and information concerning our industry, including market size and growth rates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The source of these independent industry publications is provided below:</w:t>
      </w:r>
    </w:p>
    <w:p>
      <w:pPr>
        <w:spacing w:after="0" w:line="11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Tallo, Tallo Data: GenZ + Personal Finance Data March 11,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National Financial Educators Council, National Financial Literacy Test Results March 9,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IDC, Worldwide Digital Advertising Market Model (DAMM);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eMarketer, US Financial Services Digital Ad Spending 2020, August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44</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that we will receive net proceeds from this offering of approximately $116.8 million (or approximately $135.0 million if the underwriters exercise their option to purchase additional shares of Class A common stock in full) based on an assumed initial public offering price of $18.00 per share of Class A common stock, the midpoint of the estimated price range set forth on the cover page of this prospectus, after deducting estimated underwriting discounts and commissions and estimated offering expenses.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$1.00 increase (decrease) in the assumed initial public offering price of $18.00 per share of Class A common stock would increase (decrease) the net proceeds to us from this offering by approximately $6.8 million, assuming the number of shares offered by us, as set forth on the cover page of this prospectus, remains the same, and after deducting estimated underwriting discounts and commissions. Similarly, each increase (decrease) of 1.0 million shares in the number of shares of Class A common stock offered by us would increase (decrease) the net proceeds to us from this offering by approximately $16.8 million, assuming the assumed initial public offering price of $18.00 per share of Class A common stock remains the same, and after estimated deducting underwriting discounts and commissions.</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and create a public market for our Class A common stock. We intend to use the net proceeds we receive from this offering for general corporate purposes, including working capital, operating expenses and capital expenditures. In addition, we intend to use approximately $29.3 million of the net proceeds we receive from this offering to repay all outstanding principal amounts and accrued interest under certain promissory notes held by family trusts affiliated with Jacob Gibson, one of our co-founders. These promissory notes bear interest at the rate of 4.2922% per year and mature in January 2026, and are also required to be repaid upon a deemed liquidation event or an initial public offering. We cannot specify with certainty all of the particular uses for the remaining net proceeds to us from this offering. We may also use a portion of the net proceeds for acquisitions and/or strategic investments in complementary businesses, products, services or technologies. However, we do not have agreements or commitments to enter into any such acquisitions or investments at this time. We will have broad discretion over how to use the net proceeds to us from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45</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The terms of our credit agreement with Silicon Valley Bank and certain other lenders restrict our ability to pay dividends, and we may enter into additional agreements in the future that could also contain restrictions on payments of 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46</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cash and cash equivalents and restricted cash, and our capitalization as of September 30, 2021 as follows:</w:t>
      </w:r>
    </w:p>
    <w:p>
      <w:pPr>
        <w:spacing w:after="0" w:line="18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jc w:val="both"/>
        <w:ind w:left="660" w:hanging="328"/>
        <w:spacing w:after="0" w:line="285"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a pro forma basis to reflect (1) the automatic conversion of all outstanding shares of our redeemable convertible preferred stock as of September 30, 2021 into 7,526,824 shares of Class A common stock upon the closing of this offering, assuming an initial public offering price of $18.00 per share, which is the midpoint of the price range set forth on the cover page of this prospectus, provided that the actual number of shares of Class A common stock that will be issued upon conversion of our redeemable convertible preferred stock is subject to increase in the event the initial public offering price is less than $17.9592 per share as described more fully below in “Series A Preferred Stock Additional Issuance”,</w:t>
      </w:r>
    </w:p>
    <w:p>
      <w:pPr>
        <w:spacing w:after="0" w:line="1"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(2) the reclassification of all 31,685,652 outstanding shares of our Class F common stock into an equal number of shares of our Class B common stock immediately prior to the completion of this offering and, and (3) the filing of our amended and restated certificate of incorporation immediately prior to the completion of this offering; and</w:t>
      </w:r>
    </w:p>
    <w:p>
      <w:pPr>
        <w:spacing w:after="0" w:line="135" w:lineRule="exact"/>
        <w:rPr>
          <w:rFonts w:ascii="Arial" w:cs="Arial" w:eastAsia="Arial" w:hAnsi="Arial"/>
          <w:sz w:val="16"/>
          <w:szCs w:val="16"/>
          <w:color w:val="auto"/>
        </w:rPr>
      </w:pPr>
    </w:p>
    <w:p>
      <w:pPr>
        <w:jc w:val="both"/>
        <w:ind w:left="660" w:hanging="328"/>
        <w:spacing w:after="0" w:line="273"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(1) our issuance and sale of 7,250,000 shares of Class A common stock in this offering at an assumed initial public offering price of $18.00 per share, the midpoint of the price range set forth on the cover page of this prospectus, after deducting estimated underwriting discounts and commissions and estimated offering expenses payable by us, and (2) the use of approximately $29.3 million of the net proceeds we receive from this offering to repay all outstanding principal amounts and accrued interest under certain promissory notes held by family trusts affiliated with Jacob Gibson, one of our co-founders, as well as the related derecognition of the unamortized debt premium of $1.5 million as an adjustment to accumulated deficit.</w:t>
      </w:r>
    </w:p>
    <w:p>
      <w:pPr>
        <w:spacing w:after="0" w:line="12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consolidated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47</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statements and the related notes included in this prospectus and the “Management’s Discussion and Analysis of Financial Condition and Results of Operations” section and other financial information contained in this 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w w:val="96"/>
              </w:rPr>
              <w:t>As of September 30, 2021</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273"/>
              <w:spacing w:after="0" w:line="157"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215"/>
        </w:trPr>
        <w:tc>
          <w:tcPr>
            <w:tcW w:w="63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7"/>
              </w:rPr>
              <w:t>Pro Forma</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4"/>
        </w:trPr>
        <w:tc>
          <w:tcPr>
            <w:tcW w:w="6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60" w:type="dxa"/>
            <w:vAlign w:val="bottom"/>
            <w:gridSpan w:val="7"/>
          </w:tcPr>
          <w:p>
            <w:pPr>
              <w:jc w:val="center"/>
              <w:ind w:right="933"/>
              <w:spacing w:after="0"/>
              <w:rPr>
                <w:sz w:val="20"/>
                <w:szCs w:val="20"/>
                <w:color w:val="auto"/>
              </w:rPr>
            </w:pPr>
            <w:r>
              <w:rPr>
                <w:rFonts w:ascii="Arial" w:cs="Arial" w:eastAsia="Arial" w:hAnsi="Arial"/>
                <w:sz w:val="14"/>
                <w:szCs w:val="14"/>
                <w:b w:val="1"/>
                <w:bCs w:val="1"/>
                <w:color w:val="auto"/>
                <w:w w:val="91"/>
              </w:rPr>
              <w:t>(in millions, except share and per share data)</w:t>
            </w: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02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020" w:type="dxa"/>
            <w:vAlign w:val="bottom"/>
            <w:tcBorders>
              <w:top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Convertible preferred stock, $0.0001 par value per share; 8,650,628 shares authorized;</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7,526,824 shares issued and outstanding, actual; no shares authorized, issued and</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102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Stockholders’ deficit (equity):</w:t>
            </w:r>
          </w:p>
        </w:tc>
        <w:tc>
          <w:tcPr>
            <w:tcW w:w="10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Preferred stock, $0.0001 par value per share; 5,000,000 shares authorized; no shares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issued and outstanding, actual, pro forma and pro forma as adjusted</w:t>
            </w:r>
          </w:p>
        </w:tc>
        <w:tc>
          <w:tcPr>
            <w:tcW w:w="1020" w:type="dxa"/>
            <w:vAlign w:val="bottom"/>
            <w:tcBorders>
              <w:bottom w:val="single" w:sz="8" w:color="CCEEFF"/>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Common stock, $0.0001 par value per share, 296,686,000 shares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w w:val="94"/>
              </w:rPr>
              <w:t>authorized; 49,970,517 shares issued and outstanding, actual; 57,497,341 shares</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w w:val="93"/>
              </w:rPr>
              <w:t>issued and outstanding, pro forma; 64,747,341 shares issued and outstanding, pro</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360" w:type="dxa"/>
            <w:vAlign w:val="bottom"/>
          </w:tcPr>
          <w:p>
            <w:pPr>
              <w:ind w:left="180"/>
              <w:spacing w:after="0"/>
              <w:rPr>
                <w:sz w:val="20"/>
                <w:szCs w:val="20"/>
                <w:color w:val="auto"/>
              </w:rPr>
            </w:pPr>
            <w:r>
              <w:rPr>
                <w:rFonts w:ascii="Arial" w:cs="Arial" w:eastAsia="Arial" w:hAnsi="Arial"/>
                <w:sz w:val="18"/>
                <w:szCs w:val="18"/>
                <w:color w:val="auto"/>
              </w:rPr>
              <w:t>forma as adjusted</w:t>
            </w:r>
          </w:p>
        </w:tc>
        <w:tc>
          <w:tcPr>
            <w:tcW w:w="102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020" w:type="dxa"/>
            <w:vAlign w:val="bottom"/>
            <w:tcBorders>
              <w:top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3" w:lineRule="auto"/>
        <w:tabs>
          <w:tab w:leader="none" w:pos="332" w:val="left"/>
        </w:tabs>
        <w:numPr>
          <w:ilvl w:val="0"/>
          <w:numId w:val="37"/>
        </w:numPr>
        <w:rPr>
          <w:rFonts w:ascii="Arial" w:cs="Arial" w:eastAsia="Arial" w:hAnsi="Arial"/>
          <w:sz w:val="14"/>
          <w:szCs w:val="14"/>
          <w:color w:val="auto"/>
        </w:rPr>
      </w:pPr>
      <w:r>
        <w:rPr>
          <w:rFonts w:ascii="Arial" w:cs="Arial" w:eastAsia="Arial" w:hAnsi="Arial"/>
          <w:sz w:val="14"/>
          <w:szCs w:val="14"/>
          <w:color w:val="auto"/>
        </w:rPr>
        <w:t>Each $1.00 increase (decrease) in the assumed initial public offering price of $18.00 per share of Class A common stock, the midpoint of the price range set forth on the cover page of this prospectus, would increase (decrease) the pro forma as adjusted amount of each of cash, cash equivalents and restricted cash, additional paid-in capital, total stockholders’ (deficit) equity and total capitalization by approximately $6.8 million, assuming that the number of shares offered by us, as set forth on the cover page of this prospectus, remains the same and after deducting estimated underwriting discounts and commissions. Similarly, each increase (decrease) of 1.0 million shares in the number of shares offered by us at the assumed initial public offering price per share would increase (decrease) the pro forma as adjusted amount of each of cash and cash equivalents, total stockholders’ deficit and total capitalization by approximately $16.8 million, assuming the assumed initial public offering price of $18.00 per share of Class A common stock remains the same, and after deducting estimated underwriting discounts and commissions.</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number of shares of our Class A common stock that will be outstanding after this offering is based on 25,811,689 shares of our Class A common stock outstanding as of September 30, 2021 (including shares of our redeemable convertible preferred stock on an as-converted basis, assuming a 1:1 conversion) and 31,685,652 shares of our Class B common stock outstanding as of September 30, 2021, and excludes:</w:t>
      </w:r>
    </w:p>
    <w:p>
      <w:pPr>
        <w:spacing w:after="0" w:line="111" w:lineRule="exact"/>
        <w:rPr>
          <w:sz w:val="20"/>
          <w:szCs w:val="20"/>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6,932,360 shares of our Class A common stock issuable upon the exercise of options to purchase shares of our Class A common stock outstanding as of September 30, 2021, with a weighted average exercise price of $8.32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2,854,438 shares of our Class A common stock issuable upon the vesting of RSUs outstanding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48</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6,153,642 shares of our Class A common stock reserved for future issuance under our equity compensation plans, consisting of:</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1,250,317 shares of our Class A common stock reserved for future issuance under the 2012 Plan, as of September 30, 2021;</w:t>
      </w:r>
    </w:p>
    <w:p>
      <w:pPr>
        <w:spacing w:after="0" w:line="171" w:lineRule="exact"/>
        <w:rPr>
          <w:rFonts w:ascii="Arial" w:cs="Arial" w:eastAsia="Arial" w:hAnsi="Arial"/>
          <w:sz w:val="18"/>
          <w:szCs w:val="18"/>
          <w:color w:val="auto"/>
        </w:rPr>
      </w:pPr>
    </w:p>
    <w:p>
      <w:pPr>
        <w:ind w:left="980" w:hanging="324"/>
        <w:spacing w:after="0" w:line="277" w:lineRule="auto"/>
        <w:tabs>
          <w:tab w:leader="none" w:pos="9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4,062,125 shares of our Class A common stock reserved for future issuance under the 2021 Plan, which includes an annual evergreen increase and will become effective in connection with this offering; and</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841,200 shares of our Class A common stock reserved for future issuance under the ESPP, which includes an annual evergreen increase and will become effective in connection with this offering.</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Series A Preferred Stock Additional Issuance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the closing of this offering, each share of our outstanding redeemable convertible preferred stock will automatically convert into our Class A common stock. The holders of Series A redeemable convertible preferred stock are entitled to receive an additional number of shares of Class A common stock upon conversion of the Series A redeemable convertible preferred stock if the initial public offering price of the Class A common stock issued in his offering is less than two times the original issue price of the Series A redeemable convertible preferred stock, or $17.9592 per share (the “Series A Preferred Stock Additional Issuance”).</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table below shows the effect of the Series A Preferred Stock Additional Issuance at initial public offering prices of $18.00 and $17.00 per share, which represent the midpoint and low end of the price range, respectively, set forth on the cover page of this prospectus. However, the actual initial public offering price may be lower or higher than the midpoint or low end of this range, which (if lower) would increase the number of shares of Class A common stock to be issued upon the conversion of our Series A redeemable convertible preferred stock, as described in more detail below. We will not know the initial public offering price and, as a result, the total number of shares of Class A common stock to be issued upon the conversion of the Series A redeemable convertible preferred stock, until the determination of the actual initial public offering price per share following the effectiveness of the registration statement of which this prospectus forms a part. If the initial public offering price per share is less than $17.9592, the conversion ratio of the redeemable convertible preferred stock will be adjusted, immediately prior to the consummation of the offering, to provide that each share of redeemable convertible preferred stock will convert into a number of shares of Class A common stock with an aggregate value, based on the initial public offering price, equal to $17.9592. If the initial public offering price per share exceeds $17.9592, the conversion ratio will be 1 to 1 and we will not be required to issue any additional shares of Class A common stock to the holders of Series A redeemable convertible preferred stock. For each $1.00 by which the assumed initial public offering price is less than $17.00 per share, which represents the low end of the price range set forth on the cover page of this prospectus, the number of shares of Class A common stock that will be issued upon conversion of the Series A redeemable convertible preferred stock will be increased by an additional approximately 5.6% of such shares of Class A common stock on an as-converted basis. The initial public offering price shown in the immediately preceding sentence and in the table below are hypothetical and illustrative.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Initial Public Offering</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Price Per Share ($)</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464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$17.00</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Number of Additional Shares</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of Class A Common Stock to</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be Issued Pursuant to the</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Series A Preferred Stock</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Additional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22225</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31750</wp:posOffset>
            </wp:positionV>
            <wp:extent cx="12255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5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424,675</w:t>
      </w:r>
    </w:p>
    <w:p>
      <w:pPr>
        <w:spacing w:after="0" w:line="200" w:lineRule="exact"/>
        <w:rPr>
          <w:sz w:val="20"/>
          <w:szCs w:val="20"/>
          <w:color w:val="auto"/>
        </w:rPr>
      </w:pPr>
    </w:p>
    <w:p>
      <w:pPr>
        <w:sectPr>
          <w:pgSz w:w="11900" w:h="16838" w:orient="portrait"/>
          <w:cols w:equalWidth="0" w:num="2">
            <w:col w:w="8660" w:space="720"/>
            <w:col w:w="18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49</w:t>
      </w:r>
    </w:p>
    <w:p>
      <w:pPr>
        <w:sectPr>
          <w:pgSz w:w="11900" w:h="16838" w:orient="portrait"/>
          <w:cols w:equalWidth="0" w:num="1">
            <w:col w:w="11240"/>
          </w:cols>
          <w:pgMar w:left="320" w:top="1440" w:right="339" w:bottom="1440" w:gutter="0" w:footer="0" w:header="0"/>
          <w:type w:val="continuous"/>
        </w:sectPr>
      </w:pPr>
    </w:p>
    <w:bookmarkStart w:id="57" w:name="page58"/>
    <w:bookmarkEnd w:id="5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Class A common stock and the pro forma as adjusted net tangible book value per share of our Class A common stock after this offering.</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of September 30, 2021, we had a pro forma net tangible book value of $41.9 million, or $0.73 per share. Pro forma net tangible book value per share represents the amount of our total tangible assets less our total liabilities, divided by the number of shares of our Class A common stock outstanding as of September 30, 2021, after giving effect (1) to the automatic conversion of all shares of our redeemable convertible preferred stock outstanding as of September 30, 2021 into 7,526,824 shares of our Class A common stock upon the closing of this offering, assuming an initial public offering price of $18.00 per share, which is the midpoint of the price range set forth on the cover page of this prospectus, provided that the actual number of shares of Class A common stock that will be issued upon conversion of our redeemable convertible preferred stock is subject to increase in the event the initial public offering price is less than $17.9592 per share as described more fully in “Capitalization — Series A Preferred Stock Additional Issuance”, (2) the reclassification of all 31,685,652 outstanding shares of our Class F common stock into an equal number of shares of our Class B common stock and (3) the filing and effectiveness of our amended and restated certificate of incorporation in connection with the closing of this offering.</w:t>
      </w:r>
    </w:p>
    <w:p>
      <w:pPr>
        <w:spacing w:after="0" w:line="1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After giving further effect to the sale of 7,250,000 shares of Class A common stock that we are offering at an assumed initial public offering price of $18.00 per share, the midpoint of the price range set forth on the cover page of this prospectus, and after deducting estimated underwriting discounts and commissions and estimated offering expenses payable by us, our pro forma as adjusted net tangible book value as of September 30, 2021 would have been approximately $163.6 million, or approximately $2.53 per share of Class A common stock. This amount represents an immediate increase in pro forma net tangible book value of $1.80 per share to our existing stockholders and an immediate dilution in pro forma net tangible book value of approximately $15.47 per share to new investors purchasing shares of Class A common stock in this offering.</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 of Class A common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580" w:type="dxa"/>
            <w:vAlign w:val="bottom"/>
            <w:shd w:val="clear" w:color="auto" w:fill="CCEEFF"/>
          </w:tcPr>
          <w:p>
            <w:pPr>
              <w:spacing w:after="0"/>
              <w:rPr>
                <w:sz w:val="23"/>
                <w:szCs w:val="23"/>
                <w:color w:val="auto"/>
              </w:rPr>
            </w:pP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Pro forma net tangible book value per share as of September 30, 2021</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Increase in pro forma net tangible book value per share attributable to investors purchasing shares in this offering</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5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82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5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dilution information discussed above is illustrative only and may change based on the actual initial public offering price and other terms of this offering. Each $1.00 increase in the assumed initial public offering price of $18.00 per share, the midpoint of the price range set forth on the cover page of this prospectus, would increase our pro forma as adjusted net tangible book value per share after this offering by approximately $0.10 per share, and increase the dilution in pro forma net tangible book value per share to new investors by approximately $0.90 per share, in each case, assuming that the number of shares of Class A common stock offered by us, as set forth on the cover page of this prospectus, remains the same and after deducting estimated underwriting discounts and commissions. A decrease of $1.00 in the assumed initial public offering price would result in the issuance of additional shares of Class A common stock upon conversion of our redeemable convertible preferred stock as described under the “Dilution — Series A Preferred Stock Additional Issuance” section. Each increase of 1.0 million shares in the number of shares of Class A common stock offered by us would increase our pro forma as adjusted net tangible book value per share after this offering by approximately $0.21 per share and decrease the dilution to investors participating in this offering by approximately $0.21 per share, case assuming that the assumed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50</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public offering price remains the same, and after deducting estimated underwriting discounts and commissions. Each decrease of 1.0 million shares in the number of shares of Class A common stock offered by us would decrease our pro forma as adjusted net tangible book value per share after this offering by approximately $0.23 per share and increase the dilution to investors participating in this offering by approximately $0.23 per share.</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the underwriters exercise in full their option to purchase additional shares of Class A common stock, the pro forma as adjusted net tangible book value after the offering would be $2.76 per share and would result in an increase in pro forma as adjusted net tangible book value per share to existing stockholders of $0.23 per share and a decrease in the dilution per share to new investors of $0.23 per share, in each case assuming an initial public offering price of $18.00 per share, the midpoint of the price range set forth on the cover page of this prospectus.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table summarizes on the pro forma as adjusted basis described above, as of September 30, 2021, the differences between the number of shares of Class A common stock purchased from us by our existing stockholders and Class A common stock by new investors purchasing shares in this offering, the total consideration paid to us in cash and the average price per share paid by existing stockholders for shares of Class A common stock issued prior to this offering and the price to be paid by new investors for shares of Class A common stock in this offering. The calculation below is based on the assumed initial public offering price of $18.00 per share, the midpoint of the price range set forth on the cover page of the prospectus, before deducting estimated underwriting discounts and commissions and estimated offering expenses payable by 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3160" w:type="dxa"/>
            <w:vAlign w:val="bottom"/>
            <w:gridSpan w:val="4"/>
            <w:vMerge w:val="restart"/>
          </w:tcPr>
          <w:p>
            <w:pPr>
              <w:ind w:left="980"/>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4"/>
                <w:szCs w:val="14"/>
                <w:color w:val="auto"/>
              </w:rPr>
            </w:pPr>
          </w:p>
        </w:tc>
        <w:tc>
          <w:tcPr>
            <w:tcW w:w="278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Total Consideration</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316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27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vMerge w:val="restart"/>
          </w:tcPr>
          <w:p>
            <w:pPr>
              <w:jc w:val="center"/>
              <w:ind w:right="199"/>
              <w:spacing w:after="0" w:line="125"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Number</w:t>
            </w:r>
          </w:p>
        </w:tc>
        <w:tc>
          <w:tcPr>
            <w:tcW w:w="1640" w:type="dxa"/>
            <w:vAlign w:val="bottom"/>
            <w:gridSpan w:val="2"/>
          </w:tcPr>
          <w:p>
            <w:pPr>
              <w:ind w:left="540"/>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540" w:type="dxa"/>
            <w:vAlign w:val="bottom"/>
          </w:tcPr>
          <w:p>
            <w:pPr>
              <w:jc w:val="right"/>
              <w:ind w:right="455"/>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6"/>
        </w:trPr>
        <w:tc>
          <w:tcPr>
            <w:tcW w:w="35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57,497,341</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149,863,000</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53.5 %</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7,250,000</w:t>
            </w:r>
          </w:p>
        </w:tc>
        <w:tc>
          <w:tcPr>
            <w:tcW w:w="10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130,500,000</w:t>
            </w:r>
          </w:p>
        </w:tc>
        <w:tc>
          <w:tcPr>
            <w:tcW w:w="10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46.5 %</w:t>
            </w:r>
          </w:p>
        </w:tc>
        <w:tc>
          <w:tcPr>
            <w:tcW w:w="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8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64,747,341</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280,363,000</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number of shares of our Class A common stock that will be outstanding after this offering is based on 25,811,689 shares of our Class A common stock outstanding as of September 30, 2021 (including shares of our redeemable convertible preferred stock on an as-converted basis, assuming a 1:1 conversion) and 31,685,652 shares of our Class B common stock outstanding as of September 30, 2021, and excludes:</w:t>
      </w:r>
    </w:p>
    <w:p>
      <w:pPr>
        <w:spacing w:after="0" w:line="111" w:lineRule="exact"/>
        <w:rPr>
          <w:sz w:val="20"/>
          <w:szCs w:val="20"/>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6,932,360 shares of our Class A common stock issuable upon the exercise of options to purchase shares of our Class A common stock outstanding as of September 30, 2021, with a weighted-average exercise price of $8.32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2,854,438 shares of our Class A common stock issuable upon the vesting of RSUs outstanding as of September 30,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6,153,642 shares of our Class A common stock reserved for future issuance under our equity compensation plans, consisting of:</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1,250,317 shares of our Class A common stock reserved for future issuance under the 2012 Plan, as of September 30, 2021;</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1050" w:val="left"/>
        </w:tabs>
        <w:numPr>
          <w:ilvl w:val="1"/>
          <w:numId w:val="40"/>
        </w:numPr>
        <w:rPr>
          <w:rFonts w:ascii="Arial" w:cs="Arial" w:eastAsia="Arial" w:hAnsi="Arial"/>
          <w:sz w:val="18"/>
          <w:szCs w:val="18"/>
          <w:color w:val="auto"/>
        </w:rPr>
      </w:pPr>
      <w:r>
        <w:rPr>
          <w:rFonts w:ascii="Arial" w:cs="Arial" w:eastAsia="Arial" w:hAnsi="Arial"/>
          <w:sz w:val="18"/>
          <w:szCs w:val="18"/>
          <w:color w:val="auto"/>
        </w:rPr>
        <w:t>4,062,125 shares of our Class A common stock reserved for future issuance under the 2021 Plan, which includes an annual evergreen increase and will become effective in connection with this offering; and</w:t>
      </w:r>
    </w:p>
    <w:p>
      <w:pPr>
        <w:spacing w:after="0" w:line="116" w:lineRule="exact"/>
        <w:rPr>
          <w:rFonts w:ascii="Arial" w:cs="Arial" w:eastAsia="Arial" w:hAnsi="Arial"/>
          <w:sz w:val="18"/>
          <w:szCs w:val="18"/>
          <w:color w:val="auto"/>
        </w:rPr>
      </w:pPr>
    </w:p>
    <w:p>
      <w:pPr>
        <w:ind w:left="980" w:hanging="324"/>
        <w:spacing w:after="0" w:line="277" w:lineRule="auto"/>
        <w:tabs>
          <w:tab w:leader="none" w:pos="10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841,200 shares of our Class A common stock reserved for future issuance under the ESPP, which includes an annual evergreen increase and will become effective in connection with this offering.</w:t>
      </w:r>
    </w:p>
    <w:p>
      <w:pPr>
        <w:spacing w:after="0" w:line="116"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If all such outstanding options had been exercised and all such outstanding RSUs had been vested as of September 30, 2021, the pro forma as adjusted net tangible book value per share after this offering would be $2.97, and would result in a decrease in dilution per share to new investors of $0.44.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51</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underwriters exercise in full their option to purchase additional shares of Class A common stock, our existing stockholders would own 87.3% and the investors purchasing shares of our Class A common stock in this offering would own 12.7% of the total number of shares of our Class A common stock outstanding immediately after completion of this offering.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Series A Preferred Stock Additional Issuance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effect of the Series A Preferred Stock Additional Issuance, as more fully described in “Capitalization—Series A Preferred Stock Additional Issuance”, at an initial public offering price of $17.00 per share, which represents the low point of the price range, would result in a decrease in pro forma as adjusted net tangible book value per share of $0.12 to new investors purchasing Class A common stock in this offering. For additional information, see the section titled “Capitalization — Series A Preferred Stock Additional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52</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NerdWallet, we empower consumers—both individual consumers and small and mid-sized businesses (SMBs)—to make smarter financial decisions with confidence. Technology, paired with the dramatic growth in innovative financial products, has changed the way consumers manage their financial lives; consumers are more comfortable than ever comparing and shopping for financial products online. At NerdWallet, we are leveraging this transformation to democratize access to trustworthy financial guidance by incorporating our proprietary data science models into our platform—ultimately helping to improve the financial well-being of consumers and the financial services industry as a whole. As the financial industry becomes more fragmented and complex, our value proposition as a trusted, independent and centralized platform for consumers only increases.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deliver guidance to consumers through educational content, tools and calculators, product marketplaces and our app. Our platform delivers unique value across many financial products, including credit cards, mortgages, insurance, SMB products, personal loans, banking, investing and student loans. We expanded our guidance to the UK with our recent acquisition of Know Your Money (KYM), we also expanded organically into Canada during the third quarter of 2021, and have further plans to expand internationally. Across every touchpoint, the cornerstone of our platform is consumers’ trust in the independent, objective and relevant guidance we provide, free of charge.</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trusted guidance has helped us build a large, loyal and well-informed audience of consumers who turn to us as a resource for many of their money questions and to shop for the best financial products for them. Due to this unique combination of a loyal audience, trusted guidance and tailored recommendations from our underlying machine learning technology, we have become an attractive partner for financial services providers wanting to access these high-value consumers—consumers who might not otherwise trust financial services providers’ recommendations.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By operating at the intersection of consumers and financial services providers, NerdWallet drives value for both. Through our platform, our financial services partners can reach a substantial audience, comprised of 16 million Monthly Unique Users (MUUs) on average in 2020 and 20 million on average in the first nine months of 2021. After doing research on our platform, consumers are better informed about the financial decision they’re about to make, which makes them primed and ready to transact. Consumers who visit NerdWallet tend to share a few other characteristics that make them attractive customers to our financial services partners: we have received feedback from our financial services partners that our users’ approval rates can be significantly higher than those applying through other channels and they are more eager to explore additional opportunities and products, driving demand for NerdWallet’s financial services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53</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6875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7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54</w:t>
      </w:r>
    </w:p>
    <w:p>
      <w:pPr>
        <w:sectPr>
          <w:pgSz w:w="11900" w:h="16838" w:orient="portrait"/>
          <w:cols w:equalWidth="0" w:num="1">
            <w:col w:w="9019"/>
          </w:cols>
          <w:pgMar w:left="1440" w:top="1440" w:right="1440" w:bottom="1440" w:gutter="0" w:footer="0" w:header="0"/>
        </w:sectPr>
      </w:pPr>
    </w:p>
    <w:bookmarkStart w:id="62" w:name="page63"/>
    <w:bookmarkEnd w:id="6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Financial Model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built our business to provide unbiased and trusted guidance to consumers. Through this guidance, we attract users to our platform and use data science models to match them with relevant products from our financial services partners.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Given our mission is to provide clarity for all of life’s financial decisions, we take actions that aim to prioritize user experience over revenue per user. We believe that taking a long-term view will increase our revenue and grow our business. In addition, we do not always look to maximize the number of our financial services partners on our platform; we instead aim to have products for consumers available on our platform that enable the best match.</w:t>
      </w:r>
    </w:p>
    <w:p>
      <w:pPr>
        <w:spacing w:after="0" w:line="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seek to increase the number of consumers who come to NerdWallet pursuing our financial content, guidance, and tech-driven recommendations. We generate revenue by successfully matching those consumers with our financial services partners, from whom we generate fees. These fees from which we recognize revenue include revenue per action, revenue per click, revenue per lead, and revenue per funded loan.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Impact on our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world has dramatically changed since the World Health Organization categorized COVID-19 as a global pandemic in March 2020. The pandemic caused millions of people to reevaluate many aspects of their lives, with many choosing to pay closer attention to their personal finances. We benefited from industry-wide tailwinds driven by consumers increasingly managing their money online but also faced the headwinds related to an unstable socioeconomic backdrop, which impacted consumers' finances. While consumer demand for many financial services products was high in 2020, for portions of the year some of our financial services partners tightened underwriting criteria or were slower to approve applications for certain products and some reduced advertising budgets given the inherent economic uncertainty.</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Due to these factors, we experienced lower growth in 2020 as compared to our growth rate in 2019, particularly in the second half of the year. In 2020, our revenue increased 7% versus an increase of 32% in 2019. Our 2020 annual growth was bolstered by a strong first quarter, during which revenue grew 64% when compared to the same period a year prior.</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Beginning in the second quarter of 2020, we saw a mix of financial services partner activity across our verticals. Many partners reduced their activity on our platform while others maintained or increased their activity. Credit card approvals slowed during the height of the economic uncertainty and credit card revenue declined 30% compared to 2019. Conversely, revenue from loans and other verticals increased by 44% compared to 2019 as we saw increased demand in investing, mortgages, and insurance. As a result, we benefited from the diversification of the products and providers available on our platform.</w:t>
      </w:r>
    </w:p>
    <w:p>
      <w:pPr>
        <w:spacing w:after="0" w:line="1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seeing revenue trends start to return closer to pre-COVID-19 levels. However, the full impact of the COVID-19 pandemic on the global economy and the extent to which the COVID-19 pandemic will continue to impact our results of operations and cash flows remains uncertain. Our credit cards revenue decreased 30% for the year ended December 31, 2020 compared to the same period in 2019, primarily due to lower approval rates in the market due to economic uncertainty resulting from the pandemic and tighter underwriting criteria. Our credit cards revenue increased 44% for the nine months ended September 30, 2021 compared to the same period in 2020, primarily driven by increased activity amid recovery from the economic impacts of the COVID-19 pandemic and higher pricing with our financial services partners. Our loans revenue increased 48% for the year ended December 31, 2020 compared to 2019, and 58% for the nine months ended September 30, 2021 compared to the same period in 2020. Mortgage loans revenue increased due to a sustained low interest rate environment and higher demand from consumers. Our other verticals revenue increased 41% for the year ended December 31, 2020 compared to 2019, and 43% for the nine months ended September 30, 2021 compared to the same period in 2020. The other verticals revenue increase in 2020 was attributable to higher consumer demand for insurance and investing activities. The other verticals revenue increase during the nine months ended September 30, 2021 was primarily attributable to higher SMB revenue following our acquisition of Fundera.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55</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Generate High Quality, Engaging Consumer Resources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Delivering financial guidance and resources on a broad set of topics is core to our value proposition. In order to maintain our position as a trusted destination for personal and SMB financial guidance, we produce high-quality financial guidance, which is developed by our independent team of writers and editors. Our editorial and product teams continuously improve our content, tools and resources to ensure that our platform reflects the latest consumer finance trends and related products from our financial services partners. We plan to continue investing in our growing base of high-value content and tools, which enable us to generate more traffic and grow MUUs, enhancing monetizing activities with our financial services partners and ultimately, our financial performance.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Attract and Engage Consumers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ability to increase user engagement, whether by increasing the frequency with which MUUs visit our platform, or the amount of resources they consume on our platform, is critical to the growth of our business. We focus on attracting users to NerdWallet who are interested in multiple financial products that we review and then use machine learning to help them find financial products for their needs. For example, if an individual comes to our platform to learn more about credit cards, we hope to bring that individual back to NerdWallet at a later time to explore other financial products, often via automated contextual “nudges.” Our ability to attract and engage those visitors directly impacts our ability to earn revenue from financial services partners. As such, we plan to continue investing in content, technology and marketing in order to attract and engage consumers.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Deepen Our Relationships with Our Financial Services Partners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worked with over 400 financial services partners as of September 30, 2021. These companies are essential to helping us serve consumers and grow our business. Having a broad range of financial services partners across all of our verticals is important in offering consumers a wide selection of attractive products. Furthermore, all of our revenue is generated from our financial services partners, and as such, relationships with new and existing financial services partners are critical to the success of our business. We continuously aim to selectively add new financial services partners to our platform and to add coverage for additional verticals from existing partners. That said, maximizing the number of our financial services partners on our platform isn’t our primary focus—our focus is quality, and we aim to offer all of the top financial products on our platform. The success of our relationships with financial services partners is in large part based on our ability to provide them with interested and qualified consumers.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Conditions and the Financial Well-Being of Consumers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is reliant on economic conditions in the United States. Any changes in the financial well-being of consumers, including as a result of the COVID-19 pandemic, unemployment, or government stimulus, will affect the demand for various financial services products and therefore impact the number of individuals visiting our platform and our ability to earn revenue from matches completed on our platform. In particular, fluctuations in interest rates affect many of the products offered by our financial services partners, especially mortgages, personal loans, and banking products. Typically, when interest rates decline, we see accelerated consumer demand for loans which in turn leads to increased traffic to our platform. Conversely, when interest rates increase, we see slowed consumer demand for loans and accelerated demand for banking products. The diversity of our revenue, as witnessed during periods impacted by COVID-19, provides us with a resilient business model as evidenced by the 44% increase in revenue from loans and other verticals in 2020 as compared to 2019.</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marketing strategy leverages multiple channels across brand marketing, performance marketing and organic marketing. Sales and marketing expense consists of: brand marketing, primarily advertising costs to increase brand awareness; performance marketing, primarily costs to drive traffic directly to our platform; and organic and other, primarily personnel-related costs for content and other marketing and sales teams. In 2020, approximately 39% of our total marketing expense was attributable to brand marketing, 34% to performance marketing, and the remainder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56</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organic marketing and other marketing expenses. During the first nine months of 2021, approximately 37% of our total marketing expense was attributable to brand marketing, 36% to performance marketing, and the remainder to organic marketing and other marketing expenses. We evaluate the success of our brand marketing by measuring aided brand awareness, which has grown consistently on an annual basis since 2019.</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able to adjust our marketing spend to reflect changes in external factors and consumer behavior. Performance marketing spend can be adjusted more quickly than brand marketing, which typically involves pre-committing to spend in future periods. During the first and second quarters of 2020, we increased brand marketing by over 100% compared to the same periods in 2019 to increase awareness, but reduced our spend as quickly as possible for the third and fourth quarters by approximately 30% compared to the same periods in 2019 due to the impacts of COVID-19 on our business. We reduced performance marketing earlier in the second, third and fourth quarters of 2020 by approximately 15% compared to the same periods in 2019 in response to fewer financial services partners choosing to market through our platform in certain verticals. The reduction in brand and performance marketing spend reduced the number of MUUs on our platform, which on a quarterly basis declined sequentially in 2020. As the COVID-19 headwinds subsided in 2021, we increased both brand and performance marketing to again drive more MUUs to our platform. During the first nine months of 2021, we increased sales and marketing expense by 92% compared to the first nine months of 2020.</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trailing twelve months as of September 30, 2021, over 70% of all traffic to NerdWallet came organically through direct or unpaid channels, reflecting the strength of our brand and organic marketing efforts. Our in-house, award-winning and experienced editorial team leverages search-engine optimization best practices and technology, and designs interfaces to help consumers easily find the information they are seeking. Our editorial team also optimizes page structure to increase visibility, not only for organic search results, but also for Google’s premium features such as FAQs, featured snippets, and video results. Personnel-related expenses within organic marketing were up 9% in 2020 compared with the same period in 2019, which is a reflection of our continued investment in building a comprehensive set of skills and expertise across our editorial team. We will continue to invest heavily in our marketing channels going forward, and believe that our marketing strategy will continue to position NerdWallet as the trusted brand of choice in personal finance, improve traffic acquisition at all levels of the funnel, drive engagement and enable us to scale quickly across new consumer finance verticals and geographies. We intend to invest with the goal of maintaining operating profitability on an annual basis, and we anticipate experiencing a decrease in operating margins over the short-term and a return to historical operating margins over time.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made acquisitions to expand into new verticals, to enter new markets and geographies, and to grow our platform so that our users have better outcomes. In the second half of 2020, we made two acquisitions:</w:t>
      </w:r>
    </w:p>
    <w:p>
      <w:pPr>
        <w:spacing w:after="0" w:line="116" w:lineRule="exact"/>
        <w:rPr>
          <w:sz w:val="20"/>
          <w:szCs w:val="20"/>
          <w:color w:val="auto"/>
        </w:rPr>
      </w:pPr>
    </w:p>
    <w:p>
      <w:pPr>
        <w:jc w:val="both"/>
        <w:ind w:left="660" w:hanging="328"/>
        <w:spacing w:after="0" w:line="254"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Fundera. </w:t>
      </w:r>
      <w:r>
        <w:rPr>
          <w:rFonts w:ascii="Arial" w:cs="Arial" w:eastAsia="Arial" w:hAnsi="Arial"/>
          <w:sz w:val="18"/>
          <w:szCs w:val="18"/>
          <w:color w:val="auto"/>
        </w:rPr>
        <w:t>In October 2020, we acquired Fundera, Inc. (Fundera), an online platform which connects SMBs with lenders and other resources.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closing consideration of $29.2 million and we may pay up to an additional $66.0 million of contingent earn-out consideration over the next two years based on the achievement of certain financial metrics. Fundera’s SMB-focused advice and loan comparison offerings, together with its strong brand and consultative sales approach, enables us to better support SMBs. This acquisition is a first step to enable deeper integration within existing verticals, which couples our top of funnel strength with Fundera’s monetization strategy, including recurring revenue from loan renewals. Combining the strengths of each business will allow NerdWallet to accelerate our growth in the SMB market, and will also serve as a playbook for further vertical integrations.</w:t>
      </w:r>
    </w:p>
    <w:p>
      <w:pPr>
        <w:spacing w:after="0" w:line="140"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Know Your Money. </w:t>
      </w:r>
      <w:r>
        <w:rPr>
          <w:rFonts w:ascii="Arial" w:cs="Arial" w:eastAsia="Arial" w:hAnsi="Arial"/>
          <w:sz w:val="18"/>
          <w:szCs w:val="18"/>
          <w:color w:val="auto"/>
        </w:rPr>
        <w:t>In September 2020, we acquired Notice Media Ltd. (doing business as Know Your Money), an online provider of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and tools geared towards consumers and SMBs in the UK. We paid closing consideration of $12.3 million and we may pay up to an additional $11.0 million of contingent earn-out consideration over the next two years based on the achievement of certain financial metrics. KYM’s UK expertise and NerdWallet’s existing brand recognition have provided us a strong foothold in the UK region. We believe the acquisition will allow us to accelerate our international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57</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acquisitions added 1 percentage point to our revenue growth rate in 2020, all of which occurred in the fourth quarter, and added 12 percentage points to our revenue growth rate in the first nine months of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 and Non-GAAP Financial Measure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collect, review and analyze operating and financial data of our business to assess our ongoing performance and compare our results to prior period results. In addition to revenue, net income and other results under generally accepted accounting principles (GAAP), the following sets forth the key operating metric we use to evaluate our business.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Monthly Unique Users (MUUs)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the financial services partners on our platform during a given period. During 2020, we grew MUUs by 25% compared to 2019. We experienced the strongest growth in MUUs during the first and second quarters of the year and slower growth during the third and fourth quarters as we reduced sales and marketing spend by over 35% as compared to the first half of 2020 due to underlying economic conditions. During the first nine months of 2021, we grew MUUs by 23% compared to the first nine months of 2020 as we increased our sales and marketing expenditures in light of the continued economic recovery. While we expect MUUs to grow over time, the metric may fluctuate from period to period based on economic conditions and our strategic marketing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96520</wp:posOffset>
            </wp:positionV>
            <wp:extent cx="5349240" cy="3454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58</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Adjusted EBITDA as net income (loss) from continuing operations adjusted to exclude depreciation and amortization, interest expense, net, provision (benefit) for income taxes, and further exclude (1) loss (gain) on impairment and on disposal of assets, (2) remeasurement of the embedded derivative in long-term debt, (3) change in fair value of contingent consideration related to earnouts, (4) deferred compensation related to earnouts, (5) stock-based compensation, and (6) acquisition-related costs.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is not driven by core operating results and renders comparisons with prior periods less meaningful.</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Adjusted EBITDA provides useful information to investors and others in understanding and evaluating our operating results and in comparing operating results across periods. Moreover, we have included Adjusted EBITDA in this prospectus because it is a key measurement used by our management internally to make operating decisions, including those related to analyzing operating expenses, evaluating performance, and performing strategic planning and annual budgeting. However, the use of this non-GAAP measure has certain limitations because it does not reflect all items of income and expense that affect our operations. 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10" w:lineRule="exact"/>
        <w:rPr>
          <w:sz w:val="20"/>
          <w:szCs w:val="20"/>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EBITDA does not reflect interest income (expense) and other gains (losses), net, which include unrealized and realized gains and losses on foreign currency exchange and the derivative embedded in long-term debt;</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Adjusted EBITDA excludes certain recurring, non-cash charges, such as depreciation of property and equipment and amortization of intangible assets, and although these are non-cash charges, the assets being depreciated and amortized may have to be replaced in the future, and Adjusted EBITDA does not reflect all cash requirements for such replacements or for new capital expenditure requirements;</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been, and will continue to be for the foreseeable future, a significant recurring expense in our business and an important part of our compensation strategy;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EBITDA does not include the impact of impairment of assets previously acquired, acquisition-related transaction expenses, contingent consideration fair value adjustments related to earnouts, and deferred compensation related to earnouts.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See the section titled “Management’s Discussion and Analysis of Financial Condition and Results of Operations—Non-GAAP Financial Measure” for a reconciliation of Adjusted EBITDA to net income (loss), the most directly comparable financial measure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59</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generate substantially all of our revenue through fees paid by our financial services partners in the form of either revenue per action, revenue per click, revenue per lead, and revenue per funded loan arrangements. For these revenue arrangements, in which a partner pays only when a consumer satisfies the criteria set forth within the arrangement, revenue is recognized generally when we match the consumer with the financial services partner. For some of our arrangements, the transaction price is considered variable and an estimate of the constrained transaction price is recorded when the match occurs. Our revenue generally includes three product categories: credit cards, loans and other verticals. Credit cards revenue includes revenue from consumer credit cards. Loans revenue includes revenue from home mortgages, personal loans, student loans and auto loans. Other verticals revenue includes revenue from other product sources, including insurance, banking, investing, and SMB products.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 consists primarily of amortization expense and impairment charges associated with capitalized software development costs, credit scoring fees, account linking fees</w:t>
      </w:r>
      <w:r>
        <w:rPr>
          <w:rFonts w:ascii="Arial" w:cs="Arial" w:eastAsia="Arial" w:hAnsi="Arial"/>
          <w:sz w:val="18"/>
          <w:szCs w:val="18"/>
          <w:b w:val="1"/>
          <w:bCs w:val="1"/>
          <w:color w:val="auto"/>
        </w:rPr>
        <w:t>,</w:t>
      </w:r>
      <w:r>
        <w:rPr>
          <w:rFonts w:ascii="Arial" w:cs="Arial" w:eastAsia="Arial" w:hAnsi="Arial"/>
          <w:sz w:val="18"/>
          <w:szCs w:val="18"/>
          <w:color w:val="auto"/>
        </w:rPr>
        <w:t xml:space="preserve"> and third-party data center costs. We expect our cost of revenue to increase in absolute dollars for the foreseeable future to the extent that our business continues to grow. We expect our cost of revenue to decrease over time as a percentage of revenue as we recognize economies of scale. However, this percentage may fluctuate from year to year in the short term.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activities primarily relate to engineering, product management, data enhancement, and improved functionality related to our platform. Research and development expenses primarily consist of personnel related costs, including stock-based compensation, technology and facility-related expenses and contractor expense for our engineering, product management, data and other personnel engaged in maintaining and enhancing the functionality of our platform.</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our research and development expenses to increase in absolute dollars for the foreseeable future, primarily for increased headcount to further develop and innovate our platform. Over time, we expect research and development expenses to decrease as a percentage of revenue as our business grows and recognizes economies of scale. However, this percentage may fluctuate from period to period depending on the timing and extent of our research and development expenses.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and marketing expenses include advertising and promotion costs, costs related to brand campaign fees, marketing, business operations team, and editorial personnel and related costs, including stock-based compensation.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our sales and marketing expenses to continue to increase in absolute dollars for the foreseeable future, primarily to support the growth of our existing business and expansion into new verticals. Over time, we expect sales and marketing expenses to decrease as a percentage of revenue as our business grows and recognizes economies of scale. However, this percentage may fluctuate from period to period depending on the timing and extent of our sales and marketing expenses.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consist of personnel related costs, including stock-based compensation, for certain of our executives as well as our legal, finance, human resources, and other administrative employees; and professional services fees.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expect our general and administrative expenses to increase in absolute dollars for the foreseeable future primarily to support the growth of our business and our public company operations. Additional expenses may include increased headcount, enhanced systems, processes, and controls as well as increased expenses in the areas of insurance, compliance, investor relations, and professional services. For these reasons, we expect general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60</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administrative expenses to increase as a percentage of revenue in the near term, but eventually to decrease as a percentage of revenue as our business grows and recognizes economies of scale. This percentage may fluctuate from period to period depending on the timing and extent of our general and administrative expenses.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fair value of contingent consideration related to earnouts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recent acquisitions include earn-out provisions which require us to pay additional consideration based on the achievement of certain performance measures for a stated period after the acquisition date. We measure this contingent consideration at fair value as of the acquisition date and record it as a liability on our consolidated balance sheet. The fair value of each contingent consideration liability is remeasured at the end of each reporting period, with any changes in fair value recognized as income or expense from operations in our consolidated income statement.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income (expense), net is comprised of interest income, interest expense, and other gains (losses), net. Interest income consists primarily of interest earned on our cash and cash equivalents. Interest expense consists of interest costs related to our revolving credit facility and long-term debt, including amortization of the debt premium on our long-term debt. Other gains (losses), net is primarily related to changes in the fair value of the embedded derivative in our long-term debt, as well as realized and unrealized gains and losses on foreign currency transactions and balances. Other gains (losses), net for the nine months ended September 30, 2021 includes a nonrecurring gain.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income tax provision (benefit) consists of federal and state income taxes. As of December 31, 2020, we had federal net operating loss carryforwards (NOLs) of approximately $31.6 million, of which $13.1 million, if not utilized, will begin to expire in 2033, and the remaining $18.5 million can be carried forward indefinitely. As of December 31, 2020, we had state NOLs of approximately $17.4 million, the majority of which, if not utilized, will begin to expire on various dates beginning in 2032. In addition, we have approximately $8.8 million and $10.6 million of federal and California research and development credit carryforwards, respectively. The federal credits will start to expire in 2037, while the California credits can be carried forward indefinitely. Approximately half of our federal NOLs are acquired attributes from Fundera. The remaining carryforwards are primarily NOLs generated in 2020 due to significant tax deductions from excess tax benefits related to stock-based compensation.</w:t>
      </w:r>
    </w:p>
    <w:p>
      <w:pPr>
        <w:spacing w:after="0" w:line="12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Utilization of our NOLs and tax credit carryforwards, as well as of our other temporary differences, is dependent upon the generation of sufficient taxable income in future periods. In our ongoing assessment of all available evidence, both positive and negative, we consider the scheduled reversal of deferred tax liabilities, our future operating model and the expected impacts on our profitability, and prudent and feasible tax planning strategies. During the quarter ended September 30, 2021, we established a valuation allowance against our net U.S. deferred tax assets of $13.2 million as we believe that it is more likely than not that we will not be able to realize such net deferred tax assets. Our judgment regarding the likelihood of realization of these deferred tax assets could change in future periods, which could result in a material impact to our income tax provision in the period of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61</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Results of Operations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tables set forth our results of operations for the periods presented. The period-to-period comparisons of our results of operations have been prepared using the historical periods included in our consolidated financial statements. The following discussion should be read in conjunction with the consolidated financial statements and related notes included elsewhere in this prospectus.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228.3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245.3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0"/>
        </w:trPr>
        <w:tc>
          <w:tcPr>
            <w:tcW w:w="5200" w:type="dxa"/>
            <w:vAlign w:val="bottom"/>
          </w:tcPr>
          <w:p>
            <w:pPr>
              <w:ind w:left="24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9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9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70"/>
        </w:trPr>
        <w:tc>
          <w:tcPr>
            <w:tcW w:w="5200" w:type="dxa"/>
            <w:vAlign w:val="bottom"/>
          </w:tcPr>
          <w:p>
            <w:pPr>
              <w:ind w:left="24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9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2"/>
              </w:rPr>
              <w:t>Change in fair value of contingent consideration related to earnouts</w:t>
            </w:r>
          </w:p>
        </w:tc>
        <w:tc>
          <w:tcPr>
            <w:tcW w:w="9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199.9</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243.4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9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gains (losses), net</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2440" w:type="dxa"/>
            <w:vAlign w:val="bottom"/>
            <w:gridSpan w:val="4"/>
          </w:tcPr>
          <w:p>
            <w:pPr>
              <w:jc w:val="right"/>
              <w:ind w:right="184"/>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20" w:type="dxa"/>
            <w:vAlign w:val="bottom"/>
            <w:gridSpan w:val="4"/>
          </w:tcPr>
          <w:p>
            <w:pPr>
              <w:jc w:val="right"/>
              <w:ind w:right="362"/>
              <w:spacing w:after="0"/>
              <w:rPr>
                <w:sz w:val="20"/>
                <w:szCs w:val="20"/>
                <w:color w:val="auto"/>
              </w:rPr>
            </w:pPr>
            <w:r>
              <w:rPr>
                <w:rFonts w:ascii="Arial" w:cs="Arial" w:eastAsia="Arial" w:hAnsi="Arial"/>
                <w:sz w:val="13"/>
                <w:szCs w:val="13"/>
                <w:b w:val="1"/>
                <w:bCs w:val="1"/>
                <w:color w:val="auto"/>
                <w:w w:val="96"/>
              </w:rPr>
              <w:t>Nine Months Ended September 30,</w:t>
            </w:r>
          </w:p>
        </w:tc>
      </w:tr>
      <w:tr>
        <w:trPr>
          <w:trHeight w:val="28"/>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2"/>
        </w:trPr>
        <w:tc>
          <w:tcPr>
            <w:tcW w:w="506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3"/>
                <w:szCs w:val="13"/>
                <w:b w:val="1"/>
                <w:bCs w:val="1"/>
                <w:color w:val="auto"/>
              </w:rPr>
              <w:t>2019</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48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2"/>
              <w:spacing w:after="0"/>
              <w:rPr>
                <w:sz w:val="20"/>
                <w:szCs w:val="20"/>
                <w:color w:val="auto"/>
              </w:rPr>
            </w:pPr>
            <w:r>
              <w:rPr>
                <w:rFonts w:ascii="Arial" w:cs="Arial" w:eastAsia="Arial" w:hAnsi="Arial"/>
                <w:sz w:val="13"/>
                <w:szCs w:val="13"/>
                <w:b w:val="1"/>
                <w:bCs w:val="1"/>
                <w:color w:val="auto"/>
              </w:rPr>
              <w:t>2021</w:t>
            </w:r>
          </w:p>
        </w:tc>
      </w:tr>
      <w:tr>
        <w:trPr>
          <w:trHeight w:val="28"/>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2"/>
        </w:trPr>
        <w:tc>
          <w:tcPr>
            <w:tcW w:w="5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gridSpan w:val="3"/>
          </w:tcPr>
          <w:p>
            <w:pPr>
              <w:ind w:left="140"/>
              <w:spacing w:after="0"/>
              <w:rPr>
                <w:sz w:val="20"/>
                <w:szCs w:val="20"/>
                <w:color w:val="auto"/>
              </w:rPr>
            </w:pPr>
            <w:r>
              <w:rPr>
                <w:rFonts w:ascii="Arial" w:cs="Arial" w:eastAsia="Arial" w:hAnsi="Arial"/>
                <w:sz w:val="13"/>
                <w:szCs w:val="13"/>
                <w:b w:val="1"/>
                <w:bCs w:val="1"/>
                <w:color w:val="auto"/>
                <w:w w:val="98"/>
              </w:rPr>
              <w:t>(in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8"/>
        </w:trPr>
        <w:tc>
          <w:tcPr>
            <w:tcW w:w="5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CCEEFF"/>
          </w:tcPr>
          <w:p>
            <w:pPr>
              <w:jc w:val="right"/>
              <w:ind w:right="786"/>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3"/>
        </w:trPr>
        <w:tc>
          <w:tcPr>
            <w:tcW w:w="50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ind w:left="1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4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43"/>
        </w:trPr>
        <w:tc>
          <w:tcPr>
            <w:tcW w:w="5060" w:type="dxa"/>
            <w:vAlign w:val="bottom"/>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86"/>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21"/>
                <w:szCs w:val="21"/>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5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62</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components of our consolidated statements of operations for each of the periods presented as a percentage of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r>
      <w:tr>
        <w:trPr>
          <w:trHeight w:val="26"/>
        </w:trPr>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8</w:t>
            </w:r>
          </w:p>
        </w:tc>
      </w:tr>
      <w:tr>
        <w:trPr>
          <w:trHeight w:val="243"/>
        </w:trPr>
        <w:tc>
          <w:tcPr>
            <w:tcW w:w="48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16</w:t>
            </w: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74</w:t>
            </w:r>
          </w:p>
        </w:tc>
      </w:tr>
      <w:tr>
        <w:trPr>
          <w:trHeight w:val="243"/>
        </w:trPr>
        <w:tc>
          <w:tcPr>
            <w:tcW w:w="48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9</w:t>
            </w: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4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contingent consideration related to</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57"/>
        </w:trPr>
        <w:tc>
          <w:tcPr>
            <w:tcW w:w="48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earnouts</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96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111</w:t>
            </w:r>
          </w:p>
        </w:tc>
      </w:tr>
      <w:tr>
        <w:trPr>
          <w:trHeight w:val="27"/>
        </w:trPr>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gains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156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1</w:t>
            </w:r>
          </w:p>
        </w:tc>
      </w:tr>
      <w:tr>
        <w:trPr>
          <w:trHeight w:val="27"/>
        </w:trPr>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5440" w:type="dxa"/>
            <w:vAlign w:val="bottom"/>
            <w:gridSpan w:val="3"/>
          </w:tcPr>
          <w:p>
            <w:pPr>
              <w:ind w:left="340"/>
              <w:spacing w:after="0"/>
              <w:rPr>
                <w:sz w:val="20"/>
                <w:szCs w:val="20"/>
                <w:color w:val="auto"/>
              </w:rPr>
            </w:pPr>
            <w:r>
              <w:rPr>
                <w:rFonts w:ascii="Arial" w:cs="Arial" w:eastAsia="Arial" w:hAnsi="Arial"/>
                <w:sz w:val="18"/>
                <w:szCs w:val="18"/>
                <w:b w:val="1"/>
                <w:bCs w:val="1"/>
                <w:i w:val="1"/>
                <w:iCs w:val="1"/>
                <w:color w:val="auto"/>
                <w:w w:val="86"/>
              </w:rPr>
              <w:t>Comparison of the nine months ended September 30, 2020 and 2021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8"/>
        </w:trPr>
        <w:tc>
          <w:tcPr>
            <w:tcW w:w="4880" w:type="dxa"/>
            <w:vAlign w:val="bottom"/>
          </w:tcPr>
          <w:p>
            <w:pPr>
              <w:ind w:left="340"/>
              <w:spacing w:after="0"/>
              <w:rPr>
                <w:sz w:val="20"/>
                <w:szCs w:val="20"/>
                <w:color w:val="auto"/>
              </w:rPr>
            </w:pPr>
            <w:r>
              <w:rPr>
                <w:rFonts w:ascii="Arial" w:cs="Arial" w:eastAsia="Arial" w:hAnsi="Arial"/>
                <w:sz w:val="18"/>
                <w:szCs w:val="18"/>
                <w:i w:val="1"/>
                <w:iCs w:val="1"/>
                <w:color w:val="auto"/>
              </w:rPr>
              <w:t>Revenue</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8"/>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5"/>
              </w:rPr>
              <w:t>Nine Months Ended September 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5"/>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r>
      <w:tr>
        <w:trPr>
          <w:trHeight w:val="25"/>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7"/>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5"/>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5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88.9</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Loans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63"/>
        </w:trPr>
        <w:tc>
          <w:tcPr>
            <w:tcW w:w="48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188.6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280.1</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49 %</w:t>
            </w:r>
          </w:p>
        </w:tc>
      </w:tr>
      <w:tr>
        <w:trPr>
          <w:trHeight w:val="21"/>
        </w:trPr>
        <w:tc>
          <w:tcPr>
            <w:tcW w:w="4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increased $91.5 million for the nine months ended September 30, 2021 compared to the nine months ended September 30, 2020, with revenue increases across all verticals.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Credit cards revenue increased $27.4 million to $88.9 million for the nine months ended September 30, 2021 from $61.5 million for the nine months ended September 30, 2020, primarily driven by increased activity amid recovery from the economic impacts of the COVID-19 pandemic and higher pricing with our financial services partners.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Loans revenue increased $35.7 million to $96.8 million for the nine months ended September 30, 2021 from $61.1 million for the nine months ended September 30, 2020, primarily driven by increases of 68% in home mortgages revenue and 84% in personal loans revenue, both reflecting higher consumer demand for loans in the sustained low interest rate environment.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63</w:t>
      </w:r>
    </w:p>
    <w:p>
      <w:pPr>
        <w:sectPr>
          <w:pgSz w:w="11900" w:h="16838" w:orient="portrait"/>
          <w:cols w:equalWidth="0" w:num="1">
            <w:col w:w="11240"/>
          </w:cols>
          <w:pgMar w:left="320" w:top="1440" w:right="339" w:bottom="1440" w:gutter="0" w:footer="0" w:header="0"/>
          <w:type w:val="continuous"/>
        </w:sectPr>
      </w:pPr>
    </w:p>
    <w:bookmarkStart w:id="71" w:name="page72"/>
    <w:bookmarkEnd w:id="71"/>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verticals revenue increased $28.4 million to $94.4 million for the nine months ended September 30, 2021 from $66.0 million for the nine months ended September 30, 2020, primarily attributable to higher SMB revenue following our acquisition of Fundera. The increase also included a 38% increase in insurance revenue, partially offset by decreases of 23% in investing revenue due to lower consumer demand for investing activities and 19% in banking revenue due to the low interest rate environment.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2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Nine Months Ended September 30,</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6"/>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6"/>
              </w:rPr>
              <w:t>15.5</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6"/>
              </w:rPr>
              <w:t>21.3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increased $5.8 million, or 38%, for the nine months ended September 30, 2021 compared to the nine months ended September 30, 2020. The increase was primarily attributable to a $4.8 million increase in amortization expense related to capitalized software development costs and intangible assets related to our acquisitions of Fundera and KYM in the second half of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32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Nine Months Ended September 30,</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6"/>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6"/>
              </w:rPr>
              <w:t>37.5</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6"/>
              </w:rPr>
              <w:t>43.6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Research and development expenses increased $6.1 million, or 17%, for the nine months ended September 30, 2021 compared to the nine months ended September 30, 2020. The increase was primarily attributable to increases of $6.1 million in personnel-related costs for our engineering, data, and product management personnel and contractors to support our continued growth, and $1.3 million in software and technology costs related to our platform, partially offset by a $1.4 million decrease in allocated costs due to lower facilities costs from the shift to remote work due to the COVID-19 pandemic.</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2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Nine Months Ended September 30,</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
        </w:trPr>
        <w:tc>
          <w:tcPr>
            <w:tcW w:w="4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3"/>
              </w:rPr>
              <w:t>(dollars in millions)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84"/>
              </w:rPr>
              <w:t>108.4</w:t>
            </w:r>
          </w:p>
        </w:tc>
        <w:tc>
          <w:tcPr>
            <w:tcW w:w="96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207.8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57 %</w:t>
            </w:r>
          </w:p>
        </w:tc>
        <w:tc>
          <w:tcPr>
            <w:tcW w:w="9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2020 and 2021, our total sales and marketing expense was comprised of approximately 42% and 37% for brand marketing, respectively, and 34% and 36% for performance marketing, respectively, with the remainder for organic and other marketing expenses. We are able to adjust our marketing spend to reflect changes in external factors and consumer behavior.</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Sales and marketing expenses increased $99.4 million, or 92%, for the nine months ended September 30, 2021 compared to the nine months ended September 30, 2020. The increase was primarily attributable to increases of $31.3 million in brand marketing expenses and $38.8 million in performance marketing expenses. The increase was also attributable to higher organic and other marketing expenses, including an $18.6 million increase in personnel-related costs due to our efforts to grow and increase our user base, and $4.5 million of amortization expense of intangible assets from our acquisitions of Fundera and KYM in the second half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64</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32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Nine Months Ended September 30,</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6"/>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6"/>
              </w:rPr>
              <w:t>20.1</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6"/>
              </w:rPr>
              <w:t>26.9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General and administrative expenses increased $6.8 million, or 34%, for the nine months ended September 30, 2021 compared to the nine months ended September 30, 2020, primarily attributable to a $6.0 million increase in personnel-related costs due primarily to increased headcount.</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contingent consideration related to earnouts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2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Nine Months Ended September 30,</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6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 Change</w:t>
            </w:r>
          </w:p>
        </w:tc>
      </w:tr>
      <w:tr>
        <w:trPr>
          <w:trHeight w:val="26"/>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5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1"/>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
        </w:trPr>
        <w:tc>
          <w:tcPr>
            <w:tcW w:w="5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considerations related to earnouts  $</w:t>
            </w:r>
          </w:p>
        </w:tc>
        <w:tc>
          <w:tcPr>
            <w:tcW w:w="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NM</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Percentage of revenue</w:t>
            </w:r>
          </w:p>
        </w:tc>
        <w:tc>
          <w:tcPr>
            <w:tcW w:w="620" w:type="dxa"/>
            <w:vAlign w:val="bottom"/>
          </w:tcPr>
          <w:p>
            <w:pPr>
              <w:ind w:left="180"/>
              <w:spacing w:after="0"/>
              <w:rPr>
                <w:sz w:val="20"/>
                <w:szCs w:val="20"/>
                <w:color w:val="auto"/>
              </w:rPr>
            </w:pPr>
            <w:r>
              <w:rPr>
                <w:rFonts w:ascii="Arial" w:cs="Arial" w:eastAsia="Arial" w:hAnsi="Arial"/>
                <w:sz w:val="18"/>
                <w:szCs w:val="18"/>
                <w:color w:val="auto"/>
              </w:rPr>
              <w:t>— %</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change in fair value of contingent consideration in 2021 relates to our acquisitions of Fundera and KYM in the second half of 2020, and did not exist in the nine months ended September 30, 2020. The fair value of the estimated contingent considerations is subject to remeasurement at each reporting date until the payments are made. See Note 1 – The Company and its Significant Accounting Policies in the notes to our consolidated financial statements for further discussion regarding how we estimated the fair value of these contingent considerations.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 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240" w:type="dxa"/>
            <w:vAlign w:val="bottom"/>
            <w:gridSpan w:val="6"/>
          </w:tcPr>
          <w:p>
            <w:pPr>
              <w:ind w:left="500"/>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5"/>
        </w:trPr>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5"/>
        </w:trPr>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5"/>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center"/>
              <w:ind w:left="414"/>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21"/>
                <w:szCs w:val="21"/>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7"/>
              </w:rPr>
              <w:t>(1.1)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center"/>
              <w:ind w:left="414"/>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gains, net</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ind w:left="434"/>
              <w:spacing w:after="0"/>
              <w:rPr>
                <w:sz w:val="20"/>
                <w:szCs w:val="20"/>
                <w:color w:val="auto"/>
              </w:rPr>
            </w:pPr>
            <w:r>
              <w:rPr>
                <w:rFonts w:ascii="Arial" w:cs="Arial" w:eastAsia="Arial" w:hAnsi="Arial"/>
                <w:sz w:val="18"/>
                <w:szCs w:val="18"/>
                <w:color w:val="auto"/>
                <w:w w:val="95"/>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center"/>
              <w:ind w:left="434"/>
              <w:spacing w:after="0"/>
              <w:rPr>
                <w:sz w:val="20"/>
                <w:szCs w:val="20"/>
                <w:color w:val="auto"/>
              </w:rPr>
            </w:pPr>
            <w:r>
              <w:rPr>
                <w:rFonts w:ascii="Arial" w:cs="Arial" w:eastAsia="Arial" w:hAnsi="Arial"/>
                <w:sz w:val="18"/>
                <w:szCs w:val="18"/>
                <w:color w:val="auto"/>
                <w:w w:val="95"/>
              </w:rPr>
              <w:t>0.6</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of revenue</w:t>
            </w:r>
          </w:p>
        </w:tc>
        <w:tc>
          <w:tcPr>
            <w:tcW w:w="9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7"/>
        </w:trPr>
        <w:tc>
          <w:tcPr>
            <w:tcW w:w="4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 net increased $0.6 million for the nine months ended September 30, 2021 compared to the nine months ended September 30, 2020, primarily attributable to a $1.3 million nonrecurring gain.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 (benefit)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
        </w:trPr>
        <w:tc>
          <w:tcPr>
            <w:tcW w:w="5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 Change</w:t>
            </w:r>
          </w:p>
        </w:tc>
      </w:tr>
      <w:tr>
        <w:trPr>
          <w:trHeight w:val="25"/>
        </w:trPr>
        <w:tc>
          <w:tcPr>
            <w:tcW w:w="5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4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
        </w:trPr>
        <w:tc>
          <w:tcPr>
            <w:tcW w:w="5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w:t>
            </w:r>
          </w:p>
        </w:tc>
        <w:tc>
          <w:tcPr>
            <w:tcW w:w="108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NM</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(1 %)</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65</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Income tax provision (benefit) increased $7.2 million for the nine months ended September 30, 2021 compared to the nine months ended September 30, 2020, from an income tax benefit to a provision for income tax. Our effective tax rate was (17.0%) and (33.6%) for the nine months ended September 30, 2021 and 2020, respectively. Our effective tax rate for the nine months ended September 30, 2021 was lower than the U.S. federal statutory income tax rate of 21% primarily due to the impact of the valuation allowance recorded against our U.S. deferred tax assets of $13.2 million. Our effective tax rate for the nine months ended September 30, 2020 was lower than the U.S. federal statutory income tax rate of 21% primarily due to excess tax benefits related to stock-based compensation, and research and development credits, partially offset by non-deductible stock-based compensation.</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4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6"/>
        </w:trPr>
        <w:tc>
          <w:tcPr>
            <w:tcW w:w="5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6"/>
        </w:trPr>
        <w:tc>
          <w:tcPr>
            <w:tcW w:w="5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6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1"/>
              </w:rPr>
              <w:t>(dollars in millions)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6"/>
        </w:trPr>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ind w:left="574"/>
              <w:spacing w:after="0"/>
              <w:rPr>
                <w:sz w:val="20"/>
                <w:szCs w:val="20"/>
                <w:color w:val="auto"/>
              </w:rPr>
            </w:pPr>
            <w:r>
              <w:rPr>
                <w:rFonts w:ascii="Arial" w:cs="Arial" w:eastAsia="Arial" w:hAnsi="Arial"/>
                <w:sz w:val="18"/>
                <w:szCs w:val="18"/>
                <w:color w:val="auto"/>
                <w:w w:val="93"/>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Loans</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center"/>
              <w:ind w:left="614"/>
              <w:spacing w:after="0"/>
              <w:rPr>
                <w:sz w:val="20"/>
                <w:szCs w:val="20"/>
                <w:color w:val="auto"/>
              </w:rPr>
            </w:pPr>
            <w:r>
              <w:rPr>
                <w:rFonts w:ascii="Arial" w:cs="Arial" w:eastAsia="Arial" w:hAnsi="Arial"/>
                <w:sz w:val="18"/>
                <w:szCs w:val="18"/>
                <w:color w:val="auto"/>
                <w:w w:val="91"/>
              </w:rPr>
              <w:t>26.2</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614"/>
              <w:spacing w:after="0"/>
              <w:rPr>
                <w:sz w:val="20"/>
                <w:szCs w:val="20"/>
                <w:color w:val="auto"/>
              </w:rPr>
            </w:pPr>
            <w:r>
              <w:rPr>
                <w:rFonts w:ascii="Arial" w:cs="Arial" w:eastAsia="Arial" w:hAnsi="Arial"/>
                <w:sz w:val="18"/>
                <w:szCs w:val="18"/>
                <w:color w:val="auto"/>
                <w:w w:val="91"/>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245.3</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center"/>
              <w:ind w:left="614"/>
              <w:spacing w:after="0"/>
              <w:rPr>
                <w:sz w:val="20"/>
                <w:szCs w:val="20"/>
                <w:color w:val="auto"/>
              </w:rPr>
            </w:pPr>
            <w:r>
              <w:rPr>
                <w:rFonts w:ascii="Arial" w:cs="Arial" w:eastAsia="Arial" w:hAnsi="Arial"/>
                <w:sz w:val="18"/>
                <w:szCs w:val="18"/>
                <w:color w:val="auto"/>
                <w:w w:val="91"/>
              </w:rPr>
              <w:t>17.0</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r>
    </w:tbl>
    <w:p>
      <w:pPr>
        <w:spacing w:after="0" w:line="26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Revenue increased $17.0 million, or 7%, for the year ended December 31, 2020 compared to the year ended December 31, 2019, as increases of $26.2 million in loans revenue and $25.0 million in other verticals revenue were partially offset by a $34.2 million decrease in credit cards revenue.</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Credit cards revenue decreased $34.2 million to $78.2 million in 2020 from $112.4 million in 2019. The decrease was primarily due to the impact of economic conditions related to the COVID-19 pandemic that caused fewer financial services partners offering credit cards choosing to market through our platform due to lower approval rates for credit cards due to the economic uncertainty in 2020.</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Loans revenue increased $26.2 million to $81.3 million in 2020 from $55.1 million in 2019 primarily attributable to a 70% increase in home mortgages revenue due to higher consumer demand for mortgage loans in the low interest rate environment.</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Other verticals revenue increased $25.0 million to $85.8 million in 2020 from $60.8 million in 2019, primarily attributable to a 122% increase in insurance revenue and a 54% increase in investing revenue, due to higher consumer demand for insurance and investing activities.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600" w:type="dxa"/>
            <w:vAlign w:val="bottom"/>
            <w:gridSpan w:val="3"/>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6"/>
              </w:rPr>
              <w:t>16.1</w:t>
            </w:r>
          </w:p>
        </w:tc>
        <w:tc>
          <w:tcPr>
            <w:tcW w:w="1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Cost of revenue increased $5.2 million, or 32%, for the year ended December 31, 2020 compared to the year ended December 31, 2019. The increase was primarily attributable to a $4.3 million increase in amortization expense related to capitalized software development costs and a $0.8 million increase in third-party data center costs in connection with the growth in our traffic and ongoing product and feature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66</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58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6"/>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6"/>
              </w:rPr>
              <w:t>46.0</w:t>
            </w:r>
          </w:p>
        </w:tc>
        <w:tc>
          <w:tcPr>
            <w:tcW w:w="1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2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expenses increased $4.9 million, or 11%, for the year ended December 31, 2020 compared to the year ended December 31, 2019. The increase was primarily attributable to a $4.5 million increase in personnel-related costs for our engineering, data, and product management personnel and contractors to support our continued growth.</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560" w:type="dxa"/>
            <w:vAlign w:val="bottom"/>
            <w:gridSpan w:val="3"/>
          </w:tcPr>
          <w:p>
            <w:pPr>
              <w:jc w:val="center"/>
              <w:ind w:left="562"/>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6"/>
        </w:trPr>
        <w:tc>
          <w:tcPr>
            <w:tcW w:w="4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3"/>
              </w:rPr>
              <w:t>(dollars in millions)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4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 expense</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84"/>
              </w:rPr>
              <w:t>115.6</w:t>
            </w:r>
          </w:p>
        </w:tc>
        <w:tc>
          <w:tcPr>
            <w:tcW w:w="9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4"/>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51 %</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25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years ended December 31, 2019 and 2020, our total sales and marketing expense was comprised of approximately 32% and 39% for brand marketing, respectively, and 40% and 34% for performance marketing, respectively, with the remainder for organic and other marketing expenses.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increased $28.4 million, or 25%, for the year ended December 31, 2020 compared to the year ended December 31, 2019, primarily attributable to increases of $19.0 million in brand marketing expenses and $1.5 million in performance marketing expenses. The increase was also attributable to higher organic and other marketing expenses, including a $7.9 million increase in personnel-related costs due to our efforts to grow and increase our user base.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58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5"/>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6"/>
              </w:rPr>
              <w:t>22.2</w:t>
            </w:r>
          </w:p>
        </w:tc>
        <w:tc>
          <w:tcPr>
            <w:tcW w:w="100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2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expenses increased $5.8 million, or 26%, for the year ended December 31, 2020 compared to the year ended December 31, 2019, primarily attributable to a $3.1 million increase in professional and consulting services fees, a $1.6 million increase in acquisition-related expenses, and a $1.6 million increase in personnel-related costs resulting from increased headcount.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contingent consideration related to earnouts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60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1"/>
              </w:rPr>
              <w:t>Year Ended 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6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 Change</w:t>
            </w:r>
          </w:p>
        </w:tc>
      </w:tr>
      <w:tr>
        <w:trPr>
          <w:trHeight w:val="25"/>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5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1"/>
              </w:rPr>
              <w:t>(dollars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
        </w:trPr>
        <w:tc>
          <w:tcPr>
            <w:tcW w:w="5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considerations related to earnouts  $</w:t>
            </w:r>
          </w:p>
        </w:tc>
        <w:tc>
          <w:tcPr>
            <w:tcW w:w="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NM</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Percentage of revenue</w:t>
            </w:r>
          </w:p>
        </w:tc>
        <w:tc>
          <w:tcPr>
            <w:tcW w:w="620" w:type="dxa"/>
            <w:vAlign w:val="bottom"/>
          </w:tcPr>
          <w:p>
            <w:pPr>
              <w:ind w:left="180"/>
              <w:spacing w:after="0"/>
              <w:rPr>
                <w:sz w:val="20"/>
                <w:szCs w:val="20"/>
                <w:color w:val="auto"/>
              </w:rPr>
            </w:pPr>
            <w:r>
              <w:rPr>
                <w:rFonts w:ascii="Arial" w:cs="Arial" w:eastAsia="Arial" w:hAnsi="Arial"/>
                <w:sz w:val="18"/>
                <w:szCs w:val="18"/>
                <w:color w:val="auto"/>
              </w:rPr>
              <w:t>— %</w:t>
            </w:r>
          </w:p>
        </w:tc>
        <w:tc>
          <w:tcPr>
            <w:tcW w:w="1020" w:type="dxa"/>
            <w:vAlign w:val="bottom"/>
          </w:tcPr>
          <w:p>
            <w:pPr>
              <w:spacing w:after="0"/>
              <w:rPr>
                <w:sz w:val="21"/>
                <w:szCs w:val="21"/>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67</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change in fair value of contingent consideration in 2020 relates to our acquisitions of Fundera and Know Your Money, and did not exist in 2019. The fair value of the estimated contingent considerations is subject to remeasurement at each reporting date until the payments are made. See Note 1 – The Company and its Significant Accounting Policies in the notes to our consolidated financial statements for further discussion regarding how we estimated the fair value of this contingent consideration.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 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5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6"/>
        </w:trPr>
        <w:tc>
          <w:tcPr>
            <w:tcW w:w="4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4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w w:val="97"/>
              </w:rPr>
              <w:t>(1.1)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losses, net</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(0.1)</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7"/>
              </w:rPr>
              <w:t>(1.0)</w:t>
            </w:r>
          </w:p>
        </w:tc>
        <w:tc>
          <w:tcPr>
            <w:tcW w:w="80" w:type="dxa"/>
            <w:vAlign w:val="bottom"/>
          </w:tcPr>
          <w:p>
            <w:pPr>
              <w:spacing w:after="0"/>
              <w:rPr>
                <w:sz w:val="20"/>
                <w:szCs w:val="20"/>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of revenue</w:t>
            </w:r>
          </w:p>
        </w:tc>
        <w:tc>
          <w:tcPr>
            <w:tcW w:w="9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7"/>
        </w:trPr>
        <w:tc>
          <w:tcPr>
            <w:tcW w:w="49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(expense), net decreased $0.5 million, or 100%, for the year ended December 31, 2020 compared to the year ended December 31, 2019. The decrease is primarily attributable to a decrease in interest income related to lower interest rates and a decrease in other losses, net related to a $0.4 million remeasurement of the derivative embedded in our long-term debt.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 (benefit)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600" w:type="dxa"/>
            <w:vAlign w:val="bottom"/>
            <w:gridSpan w:val="3"/>
          </w:tcPr>
          <w:p>
            <w:pPr>
              <w:jc w:val="center"/>
              <w:ind w:left="542"/>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
        </w:trPr>
        <w:tc>
          <w:tcPr>
            <w:tcW w:w="5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 Change</w:t>
            </w:r>
          </w:p>
        </w:tc>
      </w:tr>
      <w:tr>
        <w:trPr>
          <w:trHeight w:val="26"/>
        </w:trPr>
        <w:tc>
          <w:tcPr>
            <w:tcW w:w="5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1"/>
              </w:rPr>
              <w:t>(dollars in millions)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
        </w:trPr>
        <w:tc>
          <w:tcPr>
            <w:tcW w:w="5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3.7</w:t>
            </w:r>
          </w:p>
        </w:tc>
        <w:tc>
          <w:tcPr>
            <w:tcW w:w="102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9"/>
              </w:rPr>
              <w:t>NM</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2 %</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Income tax provision decreased $8.1 million for the year ended December 31, 2020 compared to the year ended December 31, 2019, from a provision for income tax to an income tax benefit. Our effective tax rate for the year ended December 31, 2019 was 13.2% compared to the effective tax rate for the year ended December 31, 2020 of (255.7%). The 2019 income tax expense was lower than the U.S. federal statutory income tax rate of 21% primarily due benefits from research and development credits, partially offset by nondeductible compensation and other expenses. The 2020 income tax benefit was lower than the U.S. federal statutory income tax rate of 21% primarily due to excess tax benefits related to stock-based compensation and research and development credits. The change in our effective tax rate from 2019 to 2020 was primarily due to higher excess tax benefits related to stock-based compensation in 2020 as compared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68</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6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compensate for these limitations by reconciling Adjusted EBITDA to net income (loss), the most comparable GAAP financial measure. The following table presents a reconciliation of Adjusted EBITDA for each of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54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
        </w:trPr>
        <w:tc>
          <w:tcPr>
            <w:tcW w:w="4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48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r>
      <w:tr>
        <w:trPr>
          <w:trHeight w:val="26"/>
        </w:trPr>
        <w:tc>
          <w:tcPr>
            <w:tcW w:w="4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4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4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1"/>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(34.6)</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w w:val="96"/>
              </w:rPr>
              <w:t>15.1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19.9</w:t>
            </w:r>
          </w:p>
        </w:tc>
      </w:tr>
      <w:tr>
        <w:trPr>
          <w:trHeight w:val="27"/>
        </w:trPr>
        <w:tc>
          <w:tcPr>
            <w:tcW w:w="4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1.1</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94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5.0</w:t>
            </w:r>
          </w:p>
        </w:tc>
      </w:tr>
      <w:tr>
        <w:trPr>
          <w:trHeight w:val="27"/>
        </w:trPr>
        <w:tc>
          <w:tcPr>
            <w:tcW w:w="4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losses (gains),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Loss on impairment and on disposal of assets</w:t>
            </w:r>
          </w:p>
        </w:tc>
        <w:tc>
          <w:tcPr>
            <w:tcW w:w="94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0.8</w:t>
            </w:r>
          </w:p>
        </w:tc>
      </w:tr>
      <w:tr>
        <w:trPr>
          <w:trHeight w:val="27"/>
        </w:trPr>
        <w:tc>
          <w:tcPr>
            <w:tcW w:w="4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earnouts</w:t>
            </w:r>
          </w:p>
        </w:tc>
        <w:tc>
          <w:tcPr>
            <w:tcW w:w="9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10.1</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Deferred compensation related to earnouts</w:t>
            </w:r>
          </w:p>
        </w:tc>
        <w:tc>
          <w:tcPr>
            <w:tcW w:w="940" w:type="dxa"/>
            <w:vAlign w:val="bottom"/>
          </w:tcPr>
          <w:p>
            <w:pPr>
              <w:spacing w:after="0"/>
              <w:rPr>
                <w:sz w:val="21"/>
                <w:szCs w:val="21"/>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1.5</w:t>
            </w:r>
          </w:p>
        </w:tc>
      </w:tr>
      <w:tr>
        <w:trPr>
          <w:trHeight w:val="27"/>
        </w:trPr>
        <w:tc>
          <w:tcPr>
            <w:tcW w:w="4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10.8</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Acquisition-related expense</w:t>
            </w:r>
          </w:p>
        </w:tc>
        <w:tc>
          <w:tcPr>
            <w:tcW w:w="940" w:type="dxa"/>
            <w:vAlign w:val="bottom"/>
          </w:tcPr>
          <w:p>
            <w:pPr>
              <w:spacing w:after="0"/>
              <w:rPr>
                <w:sz w:val="21"/>
                <w:szCs w:val="21"/>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0.1</w:t>
            </w:r>
          </w:p>
        </w:tc>
      </w:tr>
      <w:tr>
        <w:trPr>
          <w:trHeight w:val="27"/>
        </w:trPr>
        <w:tc>
          <w:tcPr>
            <w:tcW w:w="4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44.1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6"/>
              </w:rPr>
              <w:t>24.4</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13.6</w:t>
            </w:r>
          </w:p>
        </w:tc>
      </w:tr>
      <w:tr>
        <w:trPr>
          <w:trHeight w:val="27"/>
        </w:trPr>
        <w:tc>
          <w:tcPr>
            <w:tcW w:w="48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margin</w:t>
            </w:r>
          </w:p>
        </w:tc>
        <w:tc>
          <w:tcPr>
            <w:tcW w:w="21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11 %</w:t>
            </w:r>
          </w:p>
        </w:tc>
        <w:tc>
          <w:tcPr>
            <w:tcW w:w="16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2 %</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51"/>
        </w:trPr>
        <w:tc>
          <w:tcPr>
            <w:tcW w:w="4800" w:type="dxa"/>
            <w:vAlign w:val="bottom"/>
          </w:tcPr>
          <w:p>
            <w:pPr>
              <w:ind w:left="20"/>
              <w:spacing w:after="0" w:line="252"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p>
        </w:tc>
        <w:tc>
          <w:tcPr>
            <w:tcW w:w="2160" w:type="dxa"/>
            <w:vAlign w:val="bottom"/>
          </w:tcPr>
          <w:p>
            <w:pPr>
              <w:jc w:val="right"/>
              <w:ind w:right="530"/>
              <w:spacing w:after="0"/>
              <w:rPr>
                <w:sz w:val="20"/>
                <w:szCs w:val="20"/>
                <w:color w:val="auto"/>
              </w:rPr>
            </w:pPr>
            <w:r>
              <w:rPr>
                <w:rFonts w:ascii="Arial" w:cs="Arial" w:eastAsia="Arial" w:hAnsi="Arial"/>
                <w:sz w:val="18"/>
                <w:szCs w:val="18"/>
                <w:color w:val="auto"/>
              </w:rPr>
              <w:t>19 %</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10 %</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12 %</w:t>
            </w:r>
          </w:p>
        </w:tc>
        <w:tc>
          <w:tcPr>
            <w:tcW w:w="11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______________</w:t>
            </w:r>
          </w:p>
        </w:tc>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4"/>
                <w:szCs w:val="14"/>
                <w:color w:val="auto"/>
              </w:rPr>
              <w:t>(1)  Represents adjusted EBITDA as a percentage of revenue.</w:t>
            </w:r>
          </w:p>
        </w:tc>
        <w:tc>
          <w:tcPr>
            <w:tcW w:w="2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Adjusted EBITDA decreased $19.7 million, or 45%, for the year ended December 31, 2020 compared to the year ended December 31, 2019, and $8.7 million for the nine months ended September 30, 2021 compared to the nine months ended September 30, 2020. The decrease in 2020 was driven by a $28.4 million increase in sales and marketing expense as we continued to invest in our business, particularly during the first half of 2020, despite slowed revenue growth due to the economic impact of the COVID-19 pandemic. The decrease for the nine months ended September 30, 2021 was primarily attributable to a $99.4 million increase in sales and marketing expense as we continued to invest in our business, partially offset by a $91.5 million increase in revenue amid recovery from the economic impacts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69</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Quarterly Results of Operations Data</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set forth our unaudited quarterly consolidated statements of operations data for each of the quarters indicated, as well as the percentage that each line item represents of our revenue for each quarter presented. The information for each quarter has been prepared on a basis consistent with our audited consolidated financial statements included in this prospectus, and reflect, in the opinion of management, all adjustments of a normal, recurring nature that are necessary for a fair statement of the financial information contained in those financial statements. Our historical results are not necessarily indicative of the results that may be expected in the future. The following quarterly financial data should be read in conjunction with our consolidated financial statements included elsewhere in this prospectus.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w:t>
      </w:r>
      <w:r>
        <w:rPr>
          <w:rFonts w:ascii="Arial" w:cs="Arial" w:eastAsia="Arial" w:hAnsi="Arial"/>
          <w:sz w:val="21"/>
          <w:szCs w:val="21"/>
          <w:color w:val="auto"/>
          <w:vertAlign w:val="superscript"/>
        </w:rPr>
        <w:t>(1)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Costs and expenses: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revenue</w:t>
      </w:r>
    </w:p>
    <w:p>
      <w:pPr>
        <w:spacing w:after="0" w:line="59" w:lineRule="exact"/>
        <w:rPr>
          <w:sz w:val="20"/>
          <w:szCs w:val="20"/>
          <w:color w:val="auto"/>
        </w:rPr>
      </w:pPr>
    </w:p>
    <w:p>
      <w:pPr>
        <w:ind w:left="100" w:right="640" w:hanging="80"/>
        <w:spacing w:after="0" w:line="288" w:lineRule="auto"/>
        <w:rPr>
          <w:sz w:val="20"/>
          <w:szCs w:val="20"/>
          <w:color w:val="auto"/>
        </w:rPr>
      </w:pPr>
      <w:r>
        <w:rPr>
          <w:rFonts w:ascii="Arial" w:cs="Arial" w:eastAsia="Arial" w:hAnsi="Arial"/>
          <w:sz w:val="14"/>
          <w:szCs w:val="14"/>
          <w:color w:val="auto"/>
        </w:rPr>
        <w:t>Research and development</w:t>
      </w:r>
      <w:r>
        <w:rPr>
          <w:rFonts w:ascii="Arial" w:cs="Arial" w:eastAsia="Arial" w:hAnsi="Arial"/>
          <w:sz w:val="18"/>
          <w:szCs w:val="18"/>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(2)</w:t>
      </w:r>
    </w:p>
    <w:p>
      <w:pPr>
        <w:spacing w:after="0" w:line="5" w:lineRule="exact"/>
        <w:rPr>
          <w:sz w:val="20"/>
          <w:szCs w:val="20"/>
          <w:color w:val="auto"/>
        </w:rPr>
      </w:pPr>
    </w:p>
    <w:p>
      <w:pPr>
        <w:ind w:left="100" w:right="540" w:hanging="80"/>
        <w:spacing w:after="0" w:line="281" w:lineRule="auto"/>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(2)</w:t>
      </w:r>
    </w:p>
    <w:p>
      <w:pPr>
        <w:spacing w:after="0" w:line="1" w:lineRule="exact"/>
        <w:rPr>
          <w:sz w:val="20"/>
          <w:szCs w:val="20"/>
          <w:color w:val="auto"/>
        </w:rPr>
      </w:pPr>
    </w:p>
    <w:p>
      <w:pPr>
        <w:ind w:left="100" w:hanging="80"/>
        <w:spacing w:after="0" w:line="305" w:lineRule="auto"/>
        <w:rPr>
          <w:sz w:val="20"/>
          <w:szCs w:val="20"/>
          <w:color w:val="auto"/>
        </w:rPr>
      </w:pPr>
      <w:r>
        <w:rPr>
          <w:rFonts w:ascii="Arial" w:cs="Arial" w:eastAsia="Arial" w:hAnsi="Arial"/>
          <w:sz w:val="14"/>
          <w:szCs w:val="14"/>
          <w:color w:val="auto"/>
        </w:rPr>
        <w:t>Change in fair value of contingent consideration related to earnouts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costs and expenses</w:t>
      </w:r>
    </w:p>
    <w:p>
      <w:pPr>
        <w:spacing w:after="0" w:line="82" w:lineRule="exact"/>
        <w:rPr>
          <w:sz w:val="20"/>
          <w:szCs w:val="20"/>
          <w:color w:val="auto"/>
        </w:rPr>
      </w:pPr>
    </w:p>
    <w:p>
      <w:pPr>
        <w:ind w:left="100" w:right="440" w:hanging="80"/>
        <w:spacing w:after="0" w:line="275" w:lineRule="auto"/>
        <w:rPr>
          <w:sz w:val="20"/>
          <w:szCs w:val="20"/>
          <w:color w:val="auto"/>
        </w:rPr>
      </w:pPr>
      <w:r>
        <w:rPr>
          <w:rFonts w:ascii="Arial" w:cs="Arial" w:eastAsia="Arial" w:hAnsi="Arial"/>
          <w:sz w:val="16"/>
          <w:szCs w:val="16"/>
          <w:color w:val="auto"/>
        </w:rPr>
        <w:t>Income (loss) from operations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income (expense):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gains (losses), net</w:t>
      </w:r>
    </w:p>
    <w:p>
      <w:pPr>
        <w:spacing w:after="0" w:line="71" w:lineRule="exact"/>
        <w:rPr>
          <w:sz w:val="20"/>
          <w:szCs w:val="20"/>
          <w:color w:val="auto"/>
        </w:rPr>
      </w:pPr>
    </w:p>
    <w:p>
      <w:pPr>
        <w:ind w:left="100" w:right="460" w:hanging="80"/>
        <w:spacing w:after="0" w:line="322" w:lineRule="auto"/>
        <w:rPr>
          <w:sz w:val="20"/>
          <w:szCs w:val="20"/>
          <w:color w:val="auto"/>
        </w:rPr>
      </w:pPr>
      <w:r>
        <w:rPr>
          <w:rFonts w:ascii="Arial" w:cs="Arial" w:eastAsia="Arial" w:hAnsi="Arial"/>
          <w:sz w:val="14"/>
          <w:szCs w:val="14"/>
          <w:color w:val="auto"/>
        </w:rPr>
        <w:t>Total other income (expense)</w:t>
      </w:r>
    </w:p>
    <w:p>
      <w:pPr>
        <w:ind w:left="100" w:right="340" w:hanging="80"/>
        <w:spacing w:after="0" w:line="322" w:lineRule="auto"/>
        <w:rPr>
          <w:sz w:val="20"/>
          <w:szCs w:val="20"/>
          <w:color w:val="auto"/>
        </w:rPr>
      </w:pPr>
      <w:r>
        <w:rPr>
          <w:rFonts w:ascii="Arial" w:cs="Arial" w:eastAsia="Arial" w:hAnsi="Arial"/>
          <w:sz w:val="14"/>
          <w:szCs w:val="14"/>
          <w:color w:val="auto"/>
        </w:rPr>
        <w:t>Income (loss) before income taxes</w:t>
      </w:r>
    </w:p>
    <w:p>
      <w:pPr>
        <w:ind w:left="100" w:right="300" w:hanging="80"/>
        <w:spacing w:after="0" w:line="275" w:lineRule="auto"/>
        <w:rPr>
          <w:sz w:val="20"/>
          <w:szCs w:val="20"/>
          <w:color w:val="auto"/>
        </w:rPr>
      </w:pPr>
      <w:r>
        <w:rPr>
          <w:rFonts w:ascii="Arial" w:cs="Arial" w:eastAsia="Arial" w:hAnsi="Arial"/>
          <w:sz w:val="16"/>
          <w:szCs w:val="16"/>
          <w:color w:val="auto"/>
        </w:rPr>
        <w:t>Income tax provision (benefit)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59321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Mar 31,</w:t>
            </w: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Jun 30,</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Sep 30,</w:t>
            </w: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Mar 31,</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 31,</w:t>
            </w:r>
          </w:p>
        </w:tc>
        <w:tc>
          <w:tcPr>
            <w:tcW w:w="1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Mar 31,</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4"/>
        </w:trPr>
        <w:tc>
          <w:tcPr>
            <w:tcW w:w="120" w:type="dxa"/>
            <w:vAlign w:val="bottom"/>
          </w:tcPr>
          <w:p>
            <w:pPr>
              <w:spacing w:after="0"/>
              <w:rPr>
                <w:sz w:val="15"/>
                <w:szCs w:val="15"/>
                <w:color w:val="auto"/>
              </w:rPr>
            </w:pPr>
          </w:p>
        </w:tc>
        <w:tc>
          <w:tcPr>
            <w:tcW w:w="640" w:type="dxa"/>
            <w:vAlign w:val="bottom"/>
          </w:tcPr>
          <w:p>
            <w:pPr>
              <w:jc w:val="right"/>
              <w:ind w:right="16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6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Jun 30, 2020</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Sep 30, 2020</w:t>
            </w:r>
          </w:p>
        </w:tc>
        <w:tc>
          <w:tcPr>
            <w:tcW w:w="12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81"/>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Jun 30, 2021</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Sep 30, 2021</w:t>
            </w:r>
          </w:p>
        </w:tc>
      </w:tr>
      <w:tr>
        <w:trPr>
          <w:trHeight w:val="28"/>
        </w:trPr>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2"/>
        </w:trPr>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68"/>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23"/>
                <w:szCs w:val="23"/>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90.0</w:t>
            </w:r>
          </w:p>
        </w:tc>
        <w:tc>
          <w:tcPr>
            <w:tcW w:w="8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w:t>
            </w:r>
          </w:p>
        </w:tc>
      </w:tr>
      <w:tr>
        <w:trPr>
          <w:trHeight w:val="463"/>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432"/>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43"/>
        </w:trPr>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68.6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432"/>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620"/>
        </w:trPr>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103.2</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92.2</w:t>
            </w:r>
          </w:p>
        </w:tc>
      </w:tr>
      <w:tr>
        <w:trPr>
          <w:trHeight w:val="412"/>
        </w:trPr>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453"/>
        </w:trPr>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56"/>
        </w:trPr>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412"/>
        </w:trPr>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99"/>
        </w:trPr>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445"/>
        </w:trPr>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7"/>
        </w:trPr>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-3634105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-3325495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-2896870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-2468245</wp:posOffset>
            </wp:positionV>
            <wp:extent cx="7132320" cy="394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-1910715</wp:posOffset>
            </wp:positionV>
            <wp:extent cx="71323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-1482090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-1174115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-745490</wp:posOffset>
            </wp:positionV>
            <wp:extent cx="71323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-196215</wp:posOffset>
            </wp:positionV>
            <wp:extent cx="713232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200"/>
            <w:col w:w="93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70</w:t>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59"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revenue based on product category as follows:</w:t>
      </w:r>
    </w:p>
    <w:p>
      <w:pPr>
        <w:spacing w:after="0" w:line="115"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6"/>
          </w:tcPr>
          <w:p>
            <w:pPr>
              <w:jc w:val="center"/>
              <w:ind w:left="425"/>
              <w:spacing w:after="0"/>
              <w:rPr>
                <w:sz w:val="20"/>
                <w:szCs w:val="20"/>
                <w:color w:val="auto"/>
              </w:rPr>
            </w:pPr>
            <w:r>
              <w:rPr>
                <w:rFonts w:ascii="Arial" w:cs="Arial" w:eastAsia="Arial" w:hAnsi="Arial"/>
                <w:sz w:val="13"/>
                <w:szCs w:val="13"/>
                <w:b w:val="1"/>
                <w:bCs w:val="1"/>
                <w:color w:val="auto"/>
                <w:w w:val="96"/>
              </w:rPr>
              <w:t>Three Months Ended</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8"/>
        </w:trPr>
        <w:tc>
          <w:tcPr>
            <w:tcW w:w="1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0"/>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Sep 30,</w:t>
            </w:r>
          </w:p>
        </w:tc>
        <w:tc>
          <w:tcPr>
            <w:tcW w:w="1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Jun 30,</w:t>
            </w:r>
          </w:p>
        </w:tc>
        <w:tc>
          <w:tcPr>
            <w:tcW w:w="1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Sep 30,</w:t>
            </w:r>
          </w:p>
        </w:tc>
        <w:tc>
          <w:tcPr>
            <w:tcW w:w="1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Jun 30,</w:t>
            </w:r>
          </w:p>
        </w:tc>
        <w:tc>
          <w:tcPr>
            <w:tcW w:w="120" w:type="dxa"/>
            <w:vAlign w:val="bottom"/>
          </w:tcPr>
          <w:p>
            <w:pPr>
              <w:spacing w:after="0"/>
              <w:rPr>
                <w:sz w:val="14"/>
                <w:szCs w:val="14"/>
                <w:color w:val="auto"/>
              </w:rPr>
            </w:pPr>
          </w:p>
        </w:tc>
        <w:tc>
          <w:tcPr>
            <w:tcW w:w="620" w:type="dxa"/>
            <w:vAlign w:val="bottom"/>
          </w:tcPr>
          <w:p>
            <w:pPr>
              <w:jc w:val="right"/>
              <w:ind w:right="84"/>
              <w:spacing w:after="0"/>
              <w:rPr>
                <w:sz w:val="20"/>
                <w:szCs w:val="20"/>
                <w:color w:val="auto"/>
              </w:rPr>
            </w:pPr>
            <w:r>
              <w:rPr>
                <w:rFonts w:ascii="Arial" w:cs="Arial" w:eastAsia="Arial" w:hAnsi="Arial"/>
                <w:sz w:val="13"/>
                <w:szCs w:val="13"/>
                <w:b w:val="1"/>
                <w:bCs w:val="1"/>
                <w:color w:val="auto"/>
                <w:w w:val="96"/>
              </w:rPr>
              <w:t>Sep 30,</w:t>
            </w:r>
          </w:p>
        </w:tc>
      </w:tr>
      <w:tr>
        <w:trPr>
          <w:trHeight w:val="174"/>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84"/>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6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44"/>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64"/>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6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2021</w:t>
            </w:r>
          </w:p>
        </w:tc>
      </w:tr>
      <w:tr>
        <w:trPr>
          <w:trHeight w:val="28"/>
        </w:trPr>
        <w:tc>
          <w:tcPr>
            <w:tcW w:w="1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2"/>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3"/>
              </w:rPr>
              <w:t>(in millions)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8"/>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3"/>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cards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36.1</w:t>
            </w:r>
          </w:p>
        </w:tc>
      </w:tr>
      <w:tr>
        <w:trPr>
          <w:trHeight w:val="233"/>
        </w:trPr>
        <w:tc>
          <w:tcPr>
            <w:tcW w:w="1380" w:type="dxa"/>
            <w:vAlign w:val="bottom"/>
          </w:tcPr>
          <w:p>
            <w:pPr>
              <w:ind w:left="20"/>
              <w:spacing w:after="0"/>
              <w:rPr>
                <w:sz w:val="20"/>
                <w:szCs w:val="20"/>
                <w:color w:val="auto"/>
              </w:rPr>
            </w:pPr>
            <w:r>
              <w:rPr>
                <w:rFonts w:ascii="Arial" w:cs="Arial" w:eastAsia="Arial" w:hAnsi="Arial"/>
                <w:sz w:val="14"/>
                <w:szCs w:val="14"/>
                <w:color w:val="auto"/>
              </w:rPr>
              <w:t>Loans</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4"/>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4"/>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4"/>
              <w:spacing w:after="0"/>
              <w:rPr>
                <w:sz w:val="20"/>
                <w:szCs w:val="20"/>
                <w:color w:val="auto"/>
              </w:rPr>
            </w:pPr>
            <w:r>
              <w:rPr>
                <w:rFonts w:ascii="Arial" w:cs="Arial" w:eastAsia="Arial" w:hAnsi="Arial"/>
                <w:sz w:val="16"/>
                <w:szCs w:val="16"/>
                <w:color w:val="auto"/>
              </w:rPr>
              <w:t>20.2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4"/>
              <w:spacing w:after="0"/>
              <w:rPr>
                <w:sz w:val="20"/>
                <w:szCs w:val="20"/>
                <w:color w:val="auto"/>
              </w:rPr>
            </w:pPr>
            <w:r>
              <w:rPr>
                <w:rFonts w:ascii="Arial" w:cs="Arial" w:eastAsia="Arial" w:hAnsi="Arial"/>
                <w:sz w:val="16"/>
                <w:szCs w:val="16"/>
                <w:color w:val="auto"/>
              </w:rPr>
              <w:t>32.2</w:t>
            </w:r>
          </w:p>
        </w:tc>
      </w:tr>
      <w:tr>
        <w:trPr>
          <w:trHeight w:val="246"/>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verticals</w:t>
            </w: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30.2</w:t>
            </w:r>
          </w:p>
        </w:tc>
      </w:tr>
      <w:tr>
        <w:trPr>
          <w:trHeight w:val="243"/>
        </w:trPr>
        <w:tc>
          <w:tcPr>
            <w:tcW w:w="13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61.9</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51.3</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56.7</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98.5</w:t>
            </w:r>
          </w:p>
        </w:tc>
      </w:tr>
      <w:tr>
        <w:trPr>
          <w:trHeight w:val="21"/>
        </w:trPr>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8"/>
          </w:tcPr>
          <w:p>
            <w:pPr>
              <w:jc w:val="center"/>
              <w:ind w:right="180"/>
              <w:spacing w:after="0"/>
              <w:rPr>
                <w:sz w:val="20"/>
                <w:szCs w:val="20"/>
                <w:color w:val="auto"/>
              </w:rPr>
            </w:pPr>
            <w:r>
              <w:rPr>
                <w:rFonts w:ascii="Arial" w:cs="Arial" w:eastAsia="Arial" w:hAnsi="Arial"/>
                <w:sz w:val="13"/>
                <w:szCs w:val="13"/>
                <w:b w:val="1"/>
                <w:bCs w:val="1"/>
                <w:color w:val="auto"/>
                <w:w w:val="96"/>
              </w:rPr>
              <w:t>Three Months Ended</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Sep 30,</w:t>
            </w:r>
          </w:p>
        </w:tc>
        <w:tc>
          <w:tcPr>
            <w:tcW w:w="14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Dec 31,</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Mar 31,</w:t>
            </w:r>
          </w:p>
        </w:tc>
        <w:tc>
          <w:tcPr>
            <w:tcW w:w="1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Sep 30,</w:t>
            </w:r>
          </w:p>
        </w:tc>
        <w:tc>
          <w:tcPr>
            <w:tcW w:w="1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Jun 30,</w:t>
            </w:r>
          </w:p>
        </w:tc>
        <w:tc>
          <w:tcPr>
            <w:tcW w:w="120" w:type="dxa"/>
            <w:vAlign w:val="bottom"/>
          </w:tcPr>
          <w:p>
            <w:pPr>
              <w:spacing w:after="0"/>
              <w:rPr>
                <w:sz w:val="14"/>
                <w:szCs w:val="14"/>
                <w:color w:val="auto"/>
              </w:rPr>
            </w:pPr>
          </w:p>
        </w:tc>
        <w:tc>
          <w:tcPr>
            <w:tcW w:w="620" w:type="dxa"/>
            <w:vAlign w:val="bottom"/>
          </w:tcPr>
          <w:p>
            <w:pPr>
              <w:jc w:val="right"/>
              <w:ind w:right="84"/>
              <w:spacing w:after="0"/>
              <w:rPr>
                <w:sz w:val="20"/>
                <w:szCs w:val="20"/>
                <w:color w:val="auto"/>
              </w:rPr>
            </w:pPr>
            <w:r>
              <w:rPr>
                <w:rFonts w:ascii="Arial" w:cs="Arial" w:eastAsia="Arial" w:hAnsi="Arial"/>
                <w:sz w:val="13"/>
                <w:szCs w:val="13"/>
                <w:b w:val="1"/>
                <w:bCs w:val="1"/>
                <w:color w:val="auto"/>
                <w:w w:val="96"/>
              </w:rPr>
              <w:t>Sep 30,</w:t>
            </w:r>
          </w:p>
        </w:tc>
        <w:tc>
          <w:tcPr>
            <w:tcW w:w="0" w:type="dxa"/>
            <w:vAlign w:val="bottom"/>
          </w:tcPr>
          <w:p>
            <w:pPr>
              <w:spacing w:after="0"/>
              <w:rPr>
                <w:sz w:val="1"/>
                <w:szCs w:val="1"/>
                <w:color w:val="auto"/>
              </w:rPr>
            </w:pPr>
          </w:p>
        </w:tc>
      </w:tr>
      <w:tr>
        <w:trPr>
          <w:trHeight w:val="174"/>
        </w:trPr>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84"/>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5"/>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44"/>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64"/>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8"/>
        </w:trPr>
        <w:tc>
          <w:tcPr>
            <w:tcW w:w="1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3"/>
              </w:rPr>
              <w:t>(in millions)</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center"/>
              <w:ind w:left="144"/>
              <w:spacing w:after="0"/>
              <w:rPr>
                <w:sz w:val="20"/>
                <w:szCs w:val="20"/>
                <w:color w:val="auto"/>
              </w:rPr>
            </w:pPr>
            <w:r>
              <w:rPr>
                <w:rFonts w:ascii="Arial" w:cs="Arial" w:eastAsia="Arial" w:hAnsi="Arial"/>
                <w:sz w:val="16"/>
                <w:szCs w:val="16"/>
                <w:color w:val="auto"/>
                <w:w w:val="91"/>
              </w:rPr>
              <w:t>(0.2)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8"/>
        </w:trPr>
        <w:tc>
          <w:tcPr>
            <w:tcW w:w="1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development</w:t>
            </w:r>
          </w:p>
        </w:tc>
        <w:tc>
          <w:tcPr>
            <w:tcW w:w="1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4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center"/>
              <w:ind w:left="164"/>
              <w:spacing w:after="0"/>
              <w:rPr>
                <w:sz w:val="20"/>
                <w:szCs w:val="20"/>
                <w:color w:val="auto"/>
              </w:rPr>
            </w:pPr>
            <w:r>
              <w:rPr>
                <w:rFonts w:ascii="Arial" w:cs="Arial" w:eastAsia="Arial" w:hAnsi="Arial"/>
                <w:sz w:val="16"/>
                <w:szCs w:val="16"/>
                <w:color w:val="auto"/>
                <w:w w:val="89"/>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5"/>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4"/>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center"/>
              <w:ind w:left="164"/>
              <w:spacing w:after="0"/>
              <w:rPr>
                <w:sz w:val="20"/>
                <w:szCs w:val="20"/>
                <w:color w:val="auto"/>
              </w:rPr>
            </w:pPr>
            <w:r>
              <w:rPr>
                <w:rFonts w:ascii="Arial" w:cs="Arial" w:eastAsia="Arial" w:hAnsi="Arial"/>
                <w:sz w:val="16"/>
                <w:szCs w:val="16"/>
                <w:color w:val="auto"/>
                <w:w w:val="89"/>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1"/>
        </w:trPr>
        <w:tc>
          <w:tcPr>
            <w:tcW w:w="1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administrative</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center"/>
              <w:ind w:left="164"/>
              <w:spacing w:after="0"/>
              <w:rPr>
                <w:sz w:val="20"/>
                <w:szCs w:val="20"/>
                <w:color w:val="auto"/>
              </w:rPr>
            </w:pPr>
            <w:r>
              <w:rPr>
                <w:rFonts w:ascii="Arial" w:cs="Arial" w:eastAsia="Arial" w:hAnsi="Arial"/>
                <w:sz w:val="16"/>
                <w:szCs w:val="16"/>
                <w:color w:val="auto"/>
                <w:w w:val="89"/>
              </w:rPr>
              <w:t>0.6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71</w:t>
      </w:r>
    </w:p>
    <w:p>
      <w:pPr>
        <w:sectPr>
          <w:pgSz w:w="11900" w:h="16838" w:orient="portrait"/>
          <w:cols w:equalWidth="0" w:num="1">
            <w:col w:w="10840"/>
          </w:cols>
          <w:pgMar w:left="320" w:top="1440" w:right="739" w:bottom="1440" w:gutter="0" w:footer="0" w:header="0"/>
        </w:sectPr>
      </w:pPr>
    </w:p>
    <w:bookmarkStart w:id="79" w:name="page80"/>
    <w:bookmarkEnd w:id="79"/>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components of our consolidated statements of operations for each of the periods presented as a percentage of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80" w:type="dxa"/>
            <w:vAlign w:val="bottom"/>
            <w:gridSpan w:val="6"/>
          </w:tcPr>
          <w:p>
            <w:pPr>
              <w:spacing w:after="0"/>
              <w:rPr>
                <w:sz w:val="20"/>
                <w:szCs w:val="20"/>
                <w:color w:val="auto"/>
              </w:rPr>
            </w:pPr>
            <w:r>
              <w:rPr>
                <w:rFonts w:ascii="Arial" w:cs="Arial" w:eastAsia="Arial" w:hAnsi="Arial"/>
                <w:sz w:val="13"/>
                <w:szCs w:val="13"/>
                <w:b w:val="1"/>
                <w:bCs w:val="1"/>
                <w:color w:val="auto"/>
              </w:rPr>
              <w:t>Three Months Ended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5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Jun 30,</w:t>
            </w:r>
          </w:p>
        </w:tc>
        <w:tc>
          <w:tcPr>
            <w:tcW w:w="840" w:type="dxa"/>
            <w:vAlign w:val="bottom"/>
            <w:gridSpan w:val="2"/>
          </w:tcPr>
          <w:p>
            <w:pPr>
              <w:ind w:left="180"/>
              <w:spacing w:after="0"/>
              <w:rPr>
                <w:sz w:val="20"/>
                <w:szCs w:val="20"/>
                <w:color w:val="auto"/>
              </w:rPr>
            </w:pPr>
            <w:r>
              <w:rPr>
                <w:rFonts w:ascii="Arial" w:cs="Arial" w:eastAsia="Arial" w:hAnsi="Arial"/>
                <w:sz w:val="13"/>
                <w:szCs w:val="13"/>
                <w:b w:val="1"/>
                <w:bCs w:val="1"/>
                <w:color w:val="auto"/>
              </w:rPr>
              <w:t>Sep 30,</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Dec 31,</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5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Mar 31, 2019</w:t>
            </w:r>
          </w:p>
        </w:tc>
        <w:tc>
          <w:tcPr>
            <w:tcW w:w="740" w:type="dxa"/>
            <w:vAlign w:val="bottom"/>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5"/>
                <w:szCs w:val="15"/>
                <w:color w:val="auto"/>
              </w:rPr>
            </w:pPr>
          </w:p>
        </w:tc>
        <w:tc>
          <w:tcPr>
            <w:tcW w:w="760" w:type="dxa"/>
            <w:vAlign w:val="bottom"/>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98"/>
              </w:rPr>
              <w:t>Mar 31, 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Jun 30, 2020</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Sep 30, 2020</w:t>
            </w: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 31, 2020</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Mar 31, 2021</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Jun 30, 2021</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94"/>
              </w:rPr>
              <w:t>Sep 30, 2021</w:t>
            </w:r>
          </w:p>
        </w:tc>
        <w:tc>
          <w:tcPr>
            <w:tcW w:w="0" w:type="dxa"/>
            <w:vAlign w:val="bottom"/>
          </w:tcPr>
          <w:p>
            <w:pPr>
              <w:spacing w:after="0"/>
              <w:rPr>
                <w:sz w:val="1"/>
                <w:szCs w:val="1"/>
                <w:color w:val="auto"/>
              </w:rPr>
            </w:pPr>
          </w:p>
        </w:tc>
      </w:tr>
      <w:tr>
        <w:trPr>
          <w:trHeight w:val="28"/>
        </w:trPr>
        <w:tc>
          <w:tcPr>
            <w:tcW w:w="1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92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90"/>
        </w:trPr>
        <w:tc>
          <w:tcPr>
            <w:tcW w:w="15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920" w:type="dxa"/>
            <w:vAlign w:val="bottom"/>
            <w:gridSpan w:val="3"/>
            <w:shd w:val="clear" w:color="auto" w:fill="CCEEFF"/>
          </w:tcPr>
          <w:p>
            <w:pPr>
              <w:jc w:val="right"/>
              <w:ind w:right="18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4"/>
                <w:szCs w:val="14"/>
                <w:color w:val="auto"/>
              </w:rPr>
              <w:t>Research and</w:t>
            </w:r>
          </w:p>
        </w:tc>
        <w:tc>
          <w:tcPr>
            <w:tcW w:w="820" w:type="dxa"/>
            <w:vAlign w:val="bottom"/>
            <w:vMerge w:val="restart"/>
          </w:tcPr>
          <w:p>
            <w:pPr>
              <w:jc w:val="right"/>
              <w:ind w:right="12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4"/>
                <w:szCs w:val="14"/>
                <w:color w:val="auto"/>
              </w:rPr>
            </w:pPr>
          </w:p>
        </w:tc>
        <w:tc>
          <w:tcPr>
            <w:tcW w:w="740" w:type="dxa"/>
            <w:vAlign w:val="bottom"/>
            <w:vMerge w:val="restart"/>
          </w:tcPr>
          <w:p>
            <w:pPr>
              <w:jc w:val="right"/>
              <w:ind w:right="121"/>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4"/>
                <w:szCs w:val="14"/>
                <w:color w:val="auto"/>
              </w:rPr>
            </w:pPr>
          </w:p>
        </w:tc>
        <w:tc>
          <w:tcPr>
            <w:tcW w:w="760" w:type="dxa"/>
            <w:vAlign w:val="bottom"/>
            <w:vMerge w:val="restart"/>
          </w:tcPr>
          <w:p>
            <w:pPr>
              <w:jc w:val="right"/>
              <w:ind w:right="141"/>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4"/>
                <w:szCs w:val="14"/>
                <w:color w:val="auto"/>
              </w:rPr>
            </w:pPr>
          </w:p>
        </w:tc>
        <w:tc>
          <w:tcPr>
            <w:tcW w:w="760" w:type="dxa"/>
            <w:vAlign w:val="bottom"/>
            <w:vMerge w:val="restart"/>
          </w:tcPr>
          <w:p>
            <w:pPr>
              <w:jc w:val="right"/>
              <w:ind w:right="12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4"/>
                <w:szCs w:val="14"/>
                <w:color w:val="auto"/>
              </w:rPr>
            </w:pPr>
          </w:p>
        </w:tc>
        <w:tc>
          <w:tcPr>
            <w:tcW w:w="800" w:type="dxa"/>
            <w:vAlign w:val="bottom"/>
            <w:vMerge w:val="restart"/>
          </w:tcPr>
          <w:p>
            <w:pPr>
              <w:jc w:val="right"/>
              <w:ind w:right="100"/>
              <w:spacing w:after="0"/>
              <w:rPr>
                <w:sz w:val="20"/>
                <w:szCs w:val="20"/>
                <w:color w:val="auto"/>
              </w:rPr>
            </w:pPr>
            <w:r>
              <w:rPr>
                <w:rFonts w:ascii="Arial" w:cs="Arial" w:eastAsia="Arial" w:hAnsi="Arial"/>
                <w:sz w:val="16"/>
                <w:szCs w:val="16"/>
                <w:color w:val="auto"/>
              </w:rPr>
              <w:t>14</w:t>
            </w:r>
          </w:p>
        </w:tc>
        <w:tc>
          <w:tcPr>
            <w:tcW w:w="920" w:type="dxa"/>
            <w:vAlign w:val="bottom"/>
            <w:gridSpan w:val="3"/>
            <w:vMerge w:val="restart"/>
          </w:tcPr>
          <w:p>
            <w:pPr>
              <w:jc w:val="right"/>
              <w:ind w:right="18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760" w:type="dxa"/>
            <w:vAlign w:val="bottom"/>
            <w:vMerge w:val="restart"/>
          </w:tcPr>
          <w:p>
            <w:pPr>
              <w:jc w:val="right"/>
              <w:ind w:right="1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820" w:type="dxa"/>
            <w:vAlign w:val="bottom"/>
            <w:vMerge w:val="restart"/>
          </w:tcPr>
          <w:p>
            <w:pPr>
              <w:jc w:val="right"/>
              <w:ind w:right="18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4"/>
                <w:szCs w:val="14"/>
                <w:color w:val="auto"/>
              </w:rPr>
            </w:pPr>
          </w:p>
        </w:tc>
        <w:tc>
          <w:tcPr>
            <w:tcW w:w="820" w:type="dxa"/>
            <w:vAlign w:val="bottom"/>
            <w:vMerge w:val="restart"/>
          </w:tcPr>
          <w:p>
            <w:pPr>
              <w:jc w:val="right"/>
              <w:ind w:right="18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820" w:type="dxa"/>
            <w:vAlign w:val="bottom"/>
            <w:vMerge w:val="restart"/>
          </w:tcPr>
          <w:p>
            <w:pPr>
              <w:jc w:val="right"/>
              <w:ind w:right="18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820" w:type="dxa"/>
            <w:vAlign w:val="bottom"/>
            <w:vMerge w:val="restart"/>
          </w:tcPr>
          <w:p>
            <w:pPr>
              <w:jc w:val="right"/>
              <w:ind w:right="18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8"/>
        </w:trPr>
        <w:tc>
          <w:tcPr>
            <w:tcW w:w="1540" w:type="dxa"/>
            <w:vAlign w:val="bottom"/>
          </w:tcPr>
          <w:p>
            <w:pPr>
              <w:ind w:left="100"/>
              <w:spacing w:after="0"/>
              <w:rPr>
                <w:sz w:val="20"/>
                <w:szCs w:val="20"/>
                <w:color w:val="auto"/>
              </w:rPr>
            </w:pPr>
            <w:r>
              <w:rPr>
                <w:rFonts w:ascii="Arial" w:cs="Arial" w:eastAsia="Arial" w:hAnsi="Arial"/>
                <w:sz w:val="14"/>
                <w:szCs w:val="14"/>
                <w:color w:val="auto"/>
              </w:rPr>
              <w:t>development</w:t>
            </w: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57</w:t>
            </w:r>
          </w:p>
        </w:tc>
        <w:tc>
          <w:tcPr>
            <w:tcW w:w="920" w:type="dxa"/>
            <w:vAlign w:val="bottom"/>
            <w:gridSpan w:val="3"/>
            <w:shd w:val="clear" w:color="auto" w:fill="CCEEFF"/>
          </w:tcPr>
          <w:p>
            <w:pPr>
              <w:jc w:val="right"/>
              <w:ind w:right="181"/>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4"/>
                <w:szCs w:val="14"/>
                <w:color w:val="auto"/>
              </w:rPr>
              <w:t>General and</w:t>
            </w:r>
          </w:p>
        </w:tc>
        <w:tc>
          <w:tcPr>
            <w:tcW w:w="820" w:type="dxa"/>
            <w:vAlign w:val="bottom"/>
            <w:vMerge w:val="restart"/>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740" w:type="dxa"/>
            <w:vAlign w:val="bottom"/>
            <w:vMerge w:val="restart"/>
          </w:tcPr>
          <w:p>
            <w:pPr>
              <w:jc w:val="right"/>
              <w:ind w:right="121"/>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4"/>
                <w:szCs w:val="14"/>
                <w:color w:val="auto"/>
              </w:rPr>
            </w:pPr>
          </w:p>
        </w:tc>
        <w:tc>
          <w:tcPr>
            <w:tcW w:w="760" w:type="dxa"/>
            <w:vAlign w:val="bottom"/>
            <w:vMerge w:val="restart"/>
          </w:tcPr>
          <w:p>
            <w:pPr>
              <w:jc w:val="right"/>
              <w:ind w:right="141"/>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4"/>
                <w:szCs w:val="14"/>
                <w:color w:val="auto"/>
              </w:rPr>
            </w:pPr>
          </w:p>
        </w:tc>
        <w:tc>
          <w:tcPr>
            <w:tcW w:w="760" w:type="dxa"/>
            <w:vAlign w:val="bottom"/>
            <w:vMerge w:val="restart"/>
          </w:tcPr>
          <w:p>
            <w:pPr>
              <w:jc w:val="right"/>
              <w:ind w:right="12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800" w:type="dxa"/>
            <w:vAlign w:val="bottom"/>
            <w:vMerge w:val="restart"/>
          </w:tcPr>
          <w:p>
            <w:pPr>
              <w:jc w:val="right"/>
              <w:ind w:right="100"/>
              <w:spacing w:after="0"/>
              <w:rPr>
                <w:sz w:val="20"/>
                <w:szCs w:val="20"/>
                <w:color w:val="auto"/>
              </w:rPr>
            </w:pPr>
            <w:r>
              <w:rPr>
                <w:rFonts w:ascii="Arial" w:cs="Arial" w:eastAsia="Arial" w:hAnsi="Arial"/>
                <w:sz w:val="16"/>
                <w:szCs w:val="16"/>
                <w:color w:val="auto"/>
              </w:rPr>
              <w:t>8</w:t>
            </w:r>
          </w:p>
        </w:tc>
        <w:tc>
          <w:tcPr>
            <w:tcW w:w="920" w:type="dxa"/>
            <w:vAlign w:val="bottom"/>
            <w:gridSpan w:val="3"/>
            <w:vMerge w:val="restart"/>
          </w:tcPr>
          <w:p>
            <w:pPr>
              <w:jc w:val="right"/>
              <w:ind w:right="18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760" w:type="dxa"/>
            <w:vAlign w:val="bottom"/>
            <w:vMerge w:val="restart"/>
          </w:tcPr>
          <w:p>
            <w:pPr>
              <w:jc w:val="right"/>
              <w:ind w:right="1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820" w:type="dxa"/>
            <w:vAlign w:val="bottom"/>
            <w:vMerge w:val="restart"/>
          </w:tcPr>
          <w:p>
            <w:pPr>
              <w:jc w:val="right"/>
              <w:ind w:right="18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820" w:type="dxa"/>
            <w:vAlign w:val="bottom"/>
            <w:vMerge w:val="restart"/>
          </w:tcPr>
          <w:p>
            <w:pPr>
              <w:jc w:val="right"/>
              <w:ind w:right="18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820" w:type="dxa"/>
            <w:vAlign w:val="bottom"/>
            <w:vMerge w:val="restart"/>
          </w:tcPr>
          <w:p>
            <w:pPr>
              <w:jc w:val="right"/>
              <w:ind w:right="18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820" w:type="dxa"/>
            <w:vAlign w:val="bottom"/>
            <w:vMerge w:val="restart"/>
          </w:tcPr>
          <w:p>
            <w:pPr>
              <w:jc w:val="right"/>
              <w:ind w:right="1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8"/>
        </w:trPr>
        <w:tc>
          <w:tcPr>
            <w:tcW w:w="1540" w:type="dxa"/>
            <w:vAlign w:val="bottom"/>
          </w:tcPr>
          <w:p>
            <w:pPr>
              <w:ind w:left="100"/>
              <w:spacing w:after="0"/>
              <w:rPr>
                <w:sz w:val="20"/>
                <w:szCs w:val="20"/>
                <w:color w:val="auto"/>
              </w:rPr>
            </w:pPr>
            <w:r>
              <w:rPr>
                <w:rFonts w:ascii="Arial" w:cs="Arial" w:eastAsia="Arial" w:hAnsi="Arial"/>
                <w:sz w:val="14"/>
                <w:szCs w:val="14"/>
                <w:color w:val="auto"/>
              </w:rPr>
              <w:t>administrative</w:t>
            </w: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3"/>
              </w:rPr>
              <w:t>contingent consideration</w:t>
            </w:r>
          </w:p>
        </w:tc>
        <w:tc>
          <w:tcPr>
            <w:tcW w:w="82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7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76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7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8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7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82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1"/>
        </w:trPr>
        <w:tc>
          <w:tcPr>
            <w:tcW w:w="1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related to earnouts</w:t>
            </w: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4"/>
              </w:rPr>
              <w:t>Total costs and expenses</w:t>
            </w: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90</w:t>
            </w: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78</w:t>
            </w: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85</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57"/>
        </w:trPr>
        <w:tc>
          <w:tcPr>
            <w:tcW w:w="15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Income (loss) from</w:t>
            </w:r>
          </w:p>
        </w:tc>
        <w:tc>
          <w:tcPr>
            <w:tcW w:w="82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920" w:type="dxa"/>
            <w:vAlign w:val="bottom"/>
            <w:gridSpan w:val="3"/>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8"/>
        </w:trPr>
        <w:tc>
          <w:tcPr>
            <w:tcW w:w="1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operations</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4"/>
                <w:szCs w:val="14"/>
                <w:color w:val="auto"/>
                <w:w w:val="97"/>
              </w:rPr>
              <w:t>Other income (expense):</w:t>
            </w: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15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Other gains (losses), net</w:t>
            </w:r>
          </w:p>
        </w:tc>
        <w:tc>
          <w:tcPr>
            <w:tcW w:w="8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0"/>
        </w:trPr>
        <w:tc>
          <w:tcPr>
            <w:tcW w:w="1540" w:type="dxa"/>
            <w:vAlign w:val="bottom"/>
          </w:tcPr>
          <w:p>
            <w:pPr>
              <w:ind w:left="20"/>
              <w:spacing w:after="0" w:line="151" w:lineRule="exact"/>
              <w:rPr>
                <w:sz w:val="20"/>
                <w:szCs w:val="20"/>
                <w:color w:val="auto"/>
              </w:rPr>
            </w:pPr>
            <w:r>
              <w:rPr>
                <w:rFonts w:ascii="Arial" w:cs="Arial" w:eastAsia="Arial" w:hAnsi="Arial"/>
                <w:sz w:val="14"/>
                <w:szCs w:val="14"/>
                <w:color w:val="auto"/>
              </w:rPr>
              <w:t>Total other income</w:t>
            </w:r>
          </w:p>
        </w:tc>
        <w:tc>
          <w:tcPr>
            <w:tcW w:w="820" w:type="dxa"/>
            <w:vAlign w:val="bottom"/>
            <w:vMerge w:val="restart"/>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3"/>
                <w:szCs w:val="13"/>
                <w:color w:val="auto"/>
              </w:rPr>
            </w:pPr>
          </w:p>
        </w:tc>
        <w:tc>
          <w:tcPr>
            <w:tcW w:w="740" w:type="dxa"/>
            <w:vAlign w:val="bottom"/>
            <w:vMerge w:val="restart"/>
          </w:tcPr>
          <w:p>
            <w:pPr>
              <w:jc w:val="right"/>
              <w:ind w:right="8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3"/>
                <w:szCs w:val="13"/>
                <w:color w:val="auto"/>
              </w:rPr>
            </w:pPr>
          </w:p>
        </w:tc>
        <w:tc>
          <w:tcPr>
            <w:tcW w:w="760" w:type="dxa"/>
            <w:vAlign w:val="bottom"/>
            <w:vMerge w:val="restart"/>
          </w:tcPr>
          <w:p>
            <w:pPr>
              <w:jc w:val="right"/>
              <w:ind w:right="141"/>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76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3"/>
                <w:szCs w:val="13"/>
                <w:color w:val="auto"/>
              </w:rPr>
            </w:pPr>
          </w:p>
        </w:tc>
        <w:tc>
          <w:tcPr>
            <w:tcW w:w="800" w:type="dxa"/>
            <w:vAlign w:val="bottom"/>
            <w:vMerge w:val="restart"/>
          </w:tcPr>
          <w:p>
            <w:pPr>
              <w:jc w:val="right"/>
              <w:ind w:right="100"/>
              <w:spacing w:after="0"/>
              <w:rPr>
                <w:sz w:val="20"/>
                <w:szCs w:val="20"/>
                <w:color w:val="auto"/>
              </w:rPr>
            </w:pPr>
            <w:r>
              <w:rPr>
                <w:rFonts w:ascii="Arial" w:cs="Arial" w:eastAsia="Arial" w:hAnsi="Arial"/>
                <w:sz w:val="16"/>
                <w:szCs w:val="16"/>
                <w:color w:val="auto"/>
              </w:rPr>
              <w:t>1</w:t>
            </w: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800" w:type="dxa"/>
            <w:vAlign w:val="bottom"/>
            <w:vMerge w:val="restart"/>
          </w:tcPr>
          <w:p>
            <w:pPr>
              <w:jc w:val="right"/>
              <w:ind w:right="1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3"/>
                <w:szCs w:val="13"/>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820" w:type="dxa"/>
            <w:vAlign w:val="bottom"/>
            <w:vMerge w:val="restart"/>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82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3"/>
                <w:szCs w:val="13"/>
                <w:color w:val="auto"/>
              </w:rPr>
            </w:pPr>
          </w:p>
        </w:tc>
        <w:tc>
          <w:tcPr>
            <w:tcW w:w="820" w:type="dxa"/>
            <w:vAlign w:val="bottom"/>
            <w:vMerge w:val="restart"/>
          </w:tcPr>
          <w:p>
            <w:pPr>
              <w:jc w:val="right"/>
              <w:ind w:right="1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820" w:type="dxa"/>
            <w:vAlign w:val="bottom"/>
            <w:vMerge w:val="restart"/>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15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(expense)</w:t>
            </w: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5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Income (loss) before</w:t>
            </w:r>
          </w:p>
        </w:tc>
        <w:tc>
          <w:tcPr>
            <w:tcW w:w="82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920" w:type="dxa"/>
            <w:vAlign w:val="bottom"/>
            <w:gridSpan w:val="3"/>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8"/>
        </w:trPr>
        <w:tc>
          <w:tcPr>
            <w:tcW w:w="1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taxes</w:t>
            </w: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540" w:type="dxa"/>
            <w:vAlign w:val="bottom"/>
          </w:tcPr>
          <w:p>
            <w:pPr>
              <w:ind w:left="20"/>
              <w:spacing w:after="0"/>
              <w:rPr>
                <w:sz w:val="20"/>
                <w:szCs w:val="20"/>
                <w:color w:val="auto"/>
              </w:rPr>
            </w:pPr>
            <w:r>
              <w:rPr>
                <w:rFonts w:ascii="Arial" w:cs="Arial" w:eastAsia="Arial" w:hAnsi="Arial"/>
                <w:sz w:val="14"/>
                <w:szCs w:val="14"/>
                <w:color w:val="auto"/>
              </w:rPr>
              <w:t>Income tax provision</w:t>
            </w:r>
          </w:p>
        </w:tc>
        <w:tc>
          <w:tcPr>
            <w:tcW w:w="820" w:type="dxa"/>
            <w:vAlign w:val="bottom"/>
            <w:vMerge w:val="restart"/>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740" w:type="dxa"/>
            <w:vAlign w:val="bottom"/>
            <w:vMerge w:val="restart"/>
          </w:tcPr>
          <w:p>
            <w:pPr>
              <w:jc w:val="right"/>
              <w:ind w:right="12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760" w:type="dxa"/>
            <w:vAlign w:val="bottom"/>
            <w:vMerge w:val="restart"/>
          </w:tcPr>
          <w:p>
            <w:pPr>
              <w:jc w:val="right"/>
              <w:ind w:right="141"/>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4"/>
                <w:szCs w:val="14"/>
                <w:color w:val="auto"/>
              </w:rPr>
            </w:pPr>
          </w:p>
        </w:tc>
        <w:tc>
          <w:tcPr>
            <w:tcW w:w="760" w:type="dxa"/>
            <w:vAlign w:val="bottom"/>
            <w:vMerge w:val="restart"/>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800" w:type="dxa"/>
            <w:vAlign w:val="bottom"/>
            <w:vMerge w:val="restart"/>
          </w:tcPr>
          <w:p>
            <w:pPr>
              <w:jc w:val="right"/>
              <w:ind w:right="100"/>
              <w:spacing w:after="0"/>
              <w:rPr>
                <w:sz w:val="20"/>
                <w:szCs w:val="20"/>
                <w:color w:val="auto"/>
              </w:rPr>
            </w:pPr>
            <w:r>
              <w:rPr>
                <w:rFonts w:ascii="Arial" w:cs="Arial" w:eastAsia="Arial" w:hAnsi="Arial"/>
                <w:sz w:val="16"/>
                <w:szCs w:val="16"/>
                <w:color w:val="auto"/>
              </w:rPr>
              <w:t>1</w:t>
            </w:r>
          </w:p>
        </w:tc>
        <w:tc>
          <w:tcPr>
            <w:tcW w:w="2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800" w:type="dxa"/>
            <w:vAlign w:val="bottom"/>
            <w:vMerge w:val="restart"/>
          </w:tcPr>
          <w:p>
            <w:pPr>
              <w:jc w:val="right"/>
              <w:ind w:right="14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820" w:type="dxa"/>
            <w:vAlign w:val="bottom"/>
            <w:vMerge w:val="restart"/>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820" w:type="dxa"/>
            <w:vAlign w:val="bottom"/>
            <w:vMerge w:val="restart"/>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820" w:type="dxa"/>
            <w:vAlign w:val="bottom"/>
            <w:vMerge w:val="restart"/>
          </w:tcPr>
          <w:p>
            <w:pPr>
              <w:jc w:val="right"/>
              <w:ind w:right="1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820" w:type="dxa"/>
            <w:vAlign w:val="bottom"/>
            <w:vMerge w:val="restart"/>
          </w:tcPr>
          <w:p>
            <w:pPr>
              <w:jc w:val="right"/>
              <w:ind w:right="1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1"/>
        </w:trPr>
        <w:tc>
          <w:tcPr>
            <w:tcW w:w="15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(benefit)</w:t>
            </w: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72</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our Adjusted EBITDA and a reconciliation of net income (loss) to Adjusted EBITDA: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ind w:left="20"/>
              <w:spacing w:after="0"/>
              <w:rPr>
                <w:sz w:val="20"/>
                <w:szCs w:val="20"/>
                <w:color w:val="auto"/>
              </w:rPr>
            </w:pPr>
            <w:r>
              <w:rPr>
                <w:rFonts w:ascii="Arial" w:cs="Arial" w:eastAsia="Arial" w:hAnsi="Arial"/>
                <w:sz w:val="13"/>
                <w:szCs w:val="13"/>
                <w:b w:val="1"/>
                <w:bCs w:val="1"/>
                <w:color w:val="auto"/>
                <w:w w:val="94"/>
              </w:rPr>
              <w:t>Three Months Ended</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Sep 30,</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Mar 31,</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6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6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8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4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81"/>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960" w:type="dxa"/>
            <w:vAlign w:val="bottom"/>
            <w:gridSpan w:val="3"/>
          </w:tcPr>
          <w:p>
            <w:pPr>
              <w:ind w:left="80"/>
              <w:spacing w:after="0"/>
              <w:rPr>
                <w:sz w:val="20"/>
                <w:szCs w:val="20"/>
                <w:color w:val="auto"/>
              </w:rPr>
            </w:pPr>
            <w:r>
              <w:rPr>
                <w:rFonts w:ascii="Arial" w:cs="Arial" w:eastAsia="Arial" w:hAnsi="Arial"/>
                <w:sz w:val="13"/>
                <w:szCs w:val="13"/>
                <w:b w:val="1"/>
                <w:bCs w:val="1"/>
                <w:color w:val="auto"/>
              </w:rPr>
              <w:t>Jun 30, 2020</w:t>
            </w: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Sep 30, 2020</w:t>
            </w: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Dec 31, 2020</w:t>
            </w: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auto"/>
              </w:rPr>
              <w:t>Mar 31, 2021</w:t>
            </w: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 30, 2021</w:t>
            </w:r>
          </w:p>
        </w:tc>
        <w:tc>
          <w:tcPr>
            <w:tcW w:w="10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Sep 30, 2021</w:t>
            </w:r>
          </w:p>
        </w:tc>
        <w:tc>
          <w:tcPr>
            <w:tcW w:w="0" w:type="dxa"/>
            <w:vAlign w:val="bottom"/>
          </w:tcPr>
          <w:p>
            <w:pPr>
              <w:spacing w:after="0"/>
              <w:rPr>
                <w:sz w:val="1"/>
                <w:szCs w:val="1"/>
                <w:color w:val="auto"/>
              </w:rPr>
            </w:pPr>
          </w:p>
        </w:tc>
      </w:tr>
      <w:tr>
        <w:trPr>
          <w:trHeight w:val="28"/>
        </w:trPr>
        <w:tc>
          <w:tcPr>
            <w:tcW w:w="1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ind w:left="120"/>
              <w:spacing w:after="0"/>
              <w:rPr>
                <w:sz w:val="20"/>
                <w:szCs w:val="20"/>
                <w:color w:val="auto"/>
              </w:rPr>
            </w:pPr>
            <w:r>
              <w:rPr>
                <w:rFonts w:ascii="Arial" w:cs="Arial" w:eastAsia="Arial" w:hAnsi="Arial"/>
                <w:sz w:val="13"/>
                <w:szCs w:val="13"/>
                <w:b w:val="1"/>
                <w:bCs w:val="1"/>
                <w:color w:val="auto"/>
              </w:rPr>
              <w:t>(in millions)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w:t>
            </w:r>
          </w:p>
        </w:tc>
        <w:tc>
          <w:tcPr>
            <w:tcW w:w="300" w:type="dxa"/>
            <w:vAlign w:val="bottom"/>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Depreciation and</w:t>
            </w:r>
          </w:p>
        </w:tc>
        <w:tc>
          <w:tcPr>
            <w:tcW w:w="120" w:type="dxa"/>
            <w:vAlign w:val="bottom"/>
          </w:tcPr>
          <w:p>
            <w:pPr>
              <w:spacing w:after="0"/>
              <w:rPr>
                <w:sz w:val="14"/>
                <w:szCs w:val="14"/>
                <w:color w:val="auto"/>
              </w:rPr>
            </w:pPr>
          </w:p>
        </w:tc>
        <w:tc>
          <w:tcPr>
            <w:tcW w:w="640" w:type="dxa"/>
            <w:vAlign w:val="bottom"/>
            <w:vMerge w:val="restart"/>
          </w:tcPr>
          <w:p>
            <w:pPr>
              <w:jc w:val="right"/>
              <w:ind w:right="12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2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2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2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41"/>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vMerge w:val="restart"/>
          </w:tcPr>
          <w:p>
            <w:pPr>
              <w:jc w:val="right"/>
              <w:ind w:right="119"/>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79"/>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7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98"/>
        </w:trPr>
        <w:tc>
          <w:tcPr>
            <w:tcW w:w="1520" w:type="dxa"/>
            <w:vAlign w:val="bottom"/>
          </w:tcPr>
          <w:p>
            <w:pPr>
              <w:ind w:left="100"/>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Income tax provision</w:t>
            </w:r>
          </w:p>
        </w:tc>
        <w:tc>
          <w:tcPr>
            <w:tcW w:w="120" w:type="dxa"/>
            <w:vAlign w:val="bottom"/>
          </w:tcPr>
          <w:p>
            <w:pPr>
              <w:spacing w:after="0"/>
              <w:rPr>
                <w:sz w:val="14"/>
                <w:szCs w:val="14"/>
                <w:color w:val="auto"/>
              </w:rPr>
            </w:pPr>
          </w:p>
        </w:tc>
        <w:tc>
          <w:tcPr>
            <w:tcW w:w="640" w:type="dxa"/>
            <w:vAlign w:val="bottom"/>
            <w:vMerge w:val="restart"/>
          </w:tcPr>
          <w:p>
            <w:pPr>
              <w:jc w:val="right"/>
              <w:ind w:right="12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2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2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81"/>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41"/>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vMerge w:val="restart"/>
          </w:tcPr>
          <w:p>
            <w:pPr>
              <w:jc w:val="right"/>
              <w:ind w:right="79"/>
              <w:spacing w:after="0"/>
              <w:rPr>
                <w:sz w:val="20"/>
                <w:szCs w:val="20"/>
                <w:color w:val="auto"/>
              </w:rPr>
            </w:pPr>
            <w:r>
              <w:rPr>
                <w:rFonts w:ascii="Arial" w:cs="Arial" w:eastAsia="Arial" w:hAnsi="Arial"/>
                <w:sz w:val="16"/>
                <w:szCs w:val="16"/>
                <w:color w:val="auto"/>
                <w:w w:val="91"/>
              </w:rPr>
              <w:t>(0.2)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39"/>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7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98"/>
        </w:trPr>
        <w:tc>
          <w:tcPr>
            <w:tcW w:w="1520" w:type="dxa"/>
            <w:vAlign w:val="bottom"/>
          </w:tcPr>
          <w:p>
            <w:pPr>
              <w:ind w:left="100"/>
              <w:spacing w:after="0"/>
              <w:rPr>
                <w:sz w:val="20"/>
                <w:szCs w:val="20"/>
                <w:color w:val="auto"/>
              </w:rPr>
            </w:pPr>
            <w:r>
              <w:rPr>
                <w:rFonts w:ascii="Arial" w:cs="Arial" w:eastAsia="Arial" w:hAnsi="Arial"/>
                <w:sz w:val="14"/>
                <w:szCs w:val="14"/>
                <w:color w:val="auto"/>
              </w:rPr>
              <w:t>(benefit)</w:t>
            </w: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losses (gains),</w:t>
            </w: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w:t>
            </w: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Loss on impairment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100"/>
              <w:spacing w:after="0"/>
              <w:rPr>
                <w:sz w:val="20"/>
                <w:szCs w:val="20"/>
                <w:color w:val="auto"/>
              </w:rPr>
            </w:pPr>
            <w:r>
              <w:rPr>
                <w:rFonts w:ascii="Arial" w:cs="Arial" w:eastAsia="Arial" w:hAnsi="Arial"/>
                <w:sz w:val="14"/>
                <w:szCs w:val="14"/>
                <w:color w:val="auto"/>
              </w:rPr>
              <w:t>and on disposal of</w:t>
            </w:r>
          </w:p>
        </w:tc>
        <w:tc>
          <w:tcPr>
            <w:tcW w:w="120" w:type="dxa"/>
            <w:vAlign w:val="bottom"/>
          </w:tcPr>
          <w:p>
            <w:pPr>
              <w:spacing w:after="0"/>
              <w:rPr>
                <w:sz w:val="14"/>
                <w:szCs w:val="14"/>
                <w:color w:val="auto"/>
              </w:rPr>
            </w:pPr>
          </w:p>
        </w:tc>
        <w:tc>
          <w:tcPr>
            <w:tcW w:w="640" w:type="dxa"/>
            <w:vAlign w:val="bottom"/>
            <w:vMerge w:val="restart"/>
          </w:tcPr>
          <w:p>
            <w:pPr>
              <w:jc w:val="right"/>
              <w:ind w:right="12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2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21"/>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ind w:right="141"/>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480" w:type="dxa"/>
            <w:vAlign w:val="bottom"/>
            <w:vMerge w:val="restart"/>
          </w:tcPr>
          <w:p>
            <w:pPr>
              <w:jc w:val="right"/>
              <w:ind w:right="119"/>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7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8"/>
        </w:trPr>
        <w:tc>
          <w:tcPr>
            <w:tcW w:w="1520" w:type="dxa"/>
            <w:vAlign w:val="bottom"/>
          </w:tcPr>
          <w:p>
            <w:pPr>
              <w:ind w:left="10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contingent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consideration related</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 earnouts</w:t>
            </w: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120" w:type="dxa"/>
            <w:vAlign w:val="bottom"/>
          </w:tcPr>
          <w:p>
            <w:pPr>
              <w:spacing w:after="0"/>
              <w:rPr>
                <w:sz w:val="14"/>
                <w:szCs w:val="14"/>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7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8"/>
        </w:trPr>
        <w:tc>
          <w:tcPr>
            <w:tcW w:w="1520" w:type="dxa"/>
            <w:vAlign w:val="bottom"/>
          </w:tcPr>
          <w:p>
            <w:pPr>
              <w:ind w:left="100"/>
              <w:spacing w:after="0"/>
              <w:rPr>
                <w:sz w:val="20"/>
                <w:szCs w:val="20"/>
                <w:color w:val="auto"/>
              </w:rPr>
            </w:pPr>
            <w:r>
              <w:rPr>
                <w:rFonts w:ascii="Arial" w:cs="Arial" w:eastAsia="Arial" w:hAnsi="Arial"/>
                <w:sz w:val="14"/>
                <w:szCs w:val="14"/>
                <w:color w:val="auto"/>
              </w:rPr>
              <w:t>related to earnouts</w:t>
            </w: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4"/>
                <w:szCs w:val="14"/>
                <w:color w:val="auto"/>
              </w:rPr>
              <w:t>Acquisition-related</w:t>
            </w:r>
          </w:p>
        </w:tc>
        <w:tc>
          <w:tcPr>
            <w:tcW w:w="120" w:type="dxa"/>
            <w:vAlign w:val="bottom"/>
          </w:tcPr>
          <w:p>
            <w:pPr>
              <w:spacing w:after="0"/>
              <w:rPr>
                <w:sz w:val="14"/>
                <w:szCs w:val="14"/>
                <w:color w:val="auto"/>
              </w:rPr>
            </w:pPr>
          </w:p>
        </w:tc>
        <w:tc>
          <w:tcPr>
            <w:tcW w:w="6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41"/>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vMerge w:val="restart"/>
          </w:tcPr>
          <w:p>
            <w:pPr>
              <w:jc w:val="right"/>
              <w:ind w:right="119"/>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79"/>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15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18.2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3"/>
              </w:rPr>
              <w:t>11.5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(10.8)</w:t>
            </w:r>
          </w:p>
        </w:tc>
        <w:tc>
          <w:tcPr>
            <w:tcW w:w="30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Arial" w:cs="Arial" w:eastAsia="Arial" w:hAnsi="Arial"/>
                <w:sz w:val="14"/>
                <w:szCs w:val="14"/>
                <w:color w:val="auto"/>
              </w:rPr>
              <w:t>Net income (loss)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05"/>
        </w:trPr>
        <w:tc>
          <w:tcPr>
            <w:tcW w:w="1520" w:type="dxa"/>
            <w:vAlign w:val="bottom"/>
          </w:tcPr>
          <w:p>
            <w:pPr>
              <w:ind w:left="100"/>
              <w:spacing w:after="0"/>
              <w:rPr>
                <w:sz w:val="20"/>
                <w:szCs w:val="20"/>
                <w:color w:val="auto"/>
              </w:rPr>
            </w:pPr>
            <w:r>
              <w:rPr>
                <w:rFonts w:ascii="Arial" w:cs="Arial" w:eastAsia="Arial" w:hAnsi="Arial"/>
                <w:sz w:val="14"/>
                <w:szCs w:val="14"/>
                <w:color w:val="auto"/>
              </w:rPr>
              <w:t>margin</w:t>
            </w: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3"/>
        </w:trPr>
        <w:tc>
          <w:tcPr>
            <w:tcW w:w="1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margin</w:t>
            </w:r>
            <w:r>
              <w:rPr>
                <w:rFonts w:ascii="Arial" w:cs="Arial" w:eastAsia="Arial" w:hAnsi="Arial"/>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w:t>
      </w:r>
    </w:p>
    <w:p>
      <w:pPr>
        <w:spacing w:after="0" w:line="44"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adjusted EBITDA as a percentage of revenue.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Revenue in each of the quarters in 2019 was higher than revenue in the same quarter of the prior year from an increase in MUUs. The slight decrease in revenue in the fourth quarter of 2019 from the third quarter of 2019 was due primarily to seasonal trends in our credit cards business. Revenue in the first quarter of 2020 increased primarily due to an increase in sales and marketing expenses driving an increase in MUUs. Revenue in the remaining three quarters of 2020 was lower relative to the first quarter as a result of the economic impacts of the COVID-19 pandemic, which caused fewer financial services partners to market credit cards through our platform due to the economic uncertainty in 2020. Revenue in the third and fourth quarter of 2020 improved relative to the second quarter primarily due to higher consumer demand for mortgage loans in the low interest rate environment. Revenue in the first nine months of 2021 increased primarily due to the accelerating economic recovery from the COVID-19 pandemic and our increased sales and marketing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 quarterly basis, cost of revenue generally increased for all periods presented primarily due to higher amortization of capitalized software development cost related to our continued investment in research and development. As a percentage of revenue, cost of revenue was relatively consistent in 2019 and the first quarter of 2020, but increased for the last three quarters of 2020 primarily because costs represented a greater proportion of lower revenue during the COVID-19 pandemic. Cost of revenue as a percentage of revenue for the first nine months of 2021 decreased primarily due to higher revenue.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 quarterly basis, research and development expense generally increased for most quarters presented primarily driven by increased personnel-related expenses and allocated overhead due to increased headcount. Research and development expense as a percentage of revenue remained generally consistent in both 2019 and 2020, with the exception of the first quarter of 2020 and the first nine months of 2021, when we experienced an increase in revenue in the respective quarters.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a quarterly basis, sales and marketing expense generally increased throughout 2019 and the first quarter of 2020, but decreased for the last three quarters of 2020 as we substantially decreased marketing efforts in response to the COVID-19 pandemic. Sales and marketing expense in the first half of 2021 increased as we increased both brand and performance marketing as the COVID-19 headwinds continued to subside in 2021, but decreased in the third quarter of 2021 primarily due to a reduction in our brand marketing. Sales and marketing expense as a percentage of revenue fluctuated in each period presented primarily due to the timing of our brand marketing to increase our brand awareness.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On a quarterly basis, general and administrative expense has generally increased sequentially, primarily attributable to higher levels of professional and consulting service fees, acquisition-related expenses and personnel-related costs resulting from increased headcount to support growth in our business.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 (benefit)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 quarterly basis, income tax provision (benefit) as a percentage of revenue remained relatively consistent in 2019, with the exception of the fourth quarter during which we recognized an income tax benefit related to the release of reserves for uncertain tax positions due to expiration of the statute of limitations. Our quarterly income tax provision (benefit) fluctuated in 2020 and the first half of 2021 primarily due to fluctuations in our income (loss) before taxes and excess tax benefits related to stock-based compensation. Additionally, in 2021, we recognized income tax expense related to nondeductible contingent consideration. Our tax provision in the third quarter of 2021 includes a valuation allowance recorded against our U.S. deferred tax assets of $13.2 million.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Adjusted EBITDA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 quarterly basis, adjusted EBITDA has generally fluctuated based on our net income (loss) and our level of investment in growth initiatives including through acquisitions, as most significantly reflected in our depreciation and amortization expense, stock-based compensation expense and, for the first quarter of 2021, the change in fair value of contingent consideration related to earnouts.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74</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0" w:lineRule="exact"/>
        <w:rPr>
          <w:sz w:val="20"/>
          <w:szCs w:val="20"/>
          <w:color w:val="auto"/>
        </w:rPr>
      </w:pPr>
    </w:p>
    <w:p>
      <w:pPr>
        <w:jc w:val="center"/>
        <w:ind w:right="8240"/>
        <w:spacing w:after="0"/>
        <w:rPr>
          <w:sz w:val="20"/>
          <w:szCs w:val="20"/>
          <w:color w:val="auto"/>
        </w:rPr>
      </w:pPr>
      <w:r>
        <w:rPr>
          <w:rFonts w:ascii="Arial" w:cs="Arial" w:eastAsia="Arial" w:hAnsi="Arial"/>
          <w:sz w:val="16"/>
          <w:szCs w:val="16"/>
          <w:b w:val="1"/>
          <w:bCs w:val="1"/>
          <w:color w:val="auto"/>
        </w:rPr>
        <w:t>Liquidity, Cash Flows, and Obligations</w:t>
      </w:r>
    </w:p>
    <w:p>
      <w:pPr>
        <w:spacing w:after="0" w:line="198" w:lineRule="exact"/>
        <w:rPr>
          <w:sz w:val="20"/>
          <w:szCs w:val="20"/>
          <w:color w:val="auto"/>
        </w:rPr>
      </w:pPr>
    </w:p>
    <w:p>
      <w:pPr>
        <w:jc w:val="center"/>
        <w:ind w:right="82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our inception, we have financed our operations primarily through cash generated from operations and, to a lesser extent, sales of our common and preferred stock, and borrowings under our credit facilities. As of December 31, 2019 and 2020, we had cash and cash equivalents of $67.6 million and $83.4 million, respectively. As of September 30, 2021, we had cash and cash equivalents of $51.5 million.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liquidity needs are related to the funding of general business requirements, including working capital requirements, research and development, and capital expenditures.</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During the nine months ended September 30, 2021, we repurchased Class F common stock for $12.4 million and Series A redeemable convertible preferred stock for $2.1 million. Additionally, we paid $2.4 million for option cancellations with a member of our board of directors and an affiliated entity. We also received proceeds from exercised stock options, increasing cash by $7.1 million. A lease signed in April 2021 for the sublease of new office space in San Francisco which is expected to commence in the fourth quarter of 2021 will also cost up to $0.2 million per month. For the year ended December 31, 2019, there was an inflow of $31.4 million cash from operating activities, which was offset by $14.8 million of cash used in investing activities. For the year ended December 31, 2020, there was an inflow of $15.4 million cash from operating activities and $54.3 million from a primary stock issuance of Class A common stock, which was offset by $55.4 million used in investing activities, of which $36.7 million was spent on business combinations. In order to grow our business, we intend to increase our personnel and related expenses and to make significant investments in our business. The timing and amount of these investments will vary based on our financial condition, the rate at which we add new personnel and the scale of our development, as well as the extent and duration of the COVID-19 pandemic and its impact on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our current cash and cash equivalents, future cash flow from operations, and access to our credit facility will be sufficient to meet our ongoing working capital, capital expenditure and other liquidity requirements for at least twelve months from the date of this filing. If necessary, we may borrow up to $100 million under a credit agreement with Silicon Valley Bank and certain other lenders, subject to borrowing conditions. We had outstanding debt of $5.0 million outstanding under a prior credit facility as of December 31, 2019 and no outstanding balance on our current facility as of December 31, 2020 or September 30, 2021. Our current facility contains certain financial and non-financial covenants. We were in compliance with all covenants as of December 31, 2020 and September 30, 2021. For additional information on these covenants, refer to Note 7 – Debt in the notes to the accompanying consolidated financial statements.</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17, 2021 and October 18, 2021, our Board of Directors and stockholders, respectively, approved a one-for-two reverse stock split of our common and preferred stock which was effectuated on October 20, 2021 upon our filing of an amended and restated certificate of incorporation with the Delaware Secretary of State. As a result, each stockholder of record on October 20, 2021 received one share of common or preferred stock for every two shares held on the record date. All share, equity award, and per share amounts presented herein have been retroactively adjusted to reflect this reverse stock split.</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75</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5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6"/>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5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(14.8)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67"/>
        </w:trPr>
        <w:tc>
          <w:tcPr>
            <w:tcW w:w="52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20" w:type="dxa"/>
            <w:vAlign w:val="bottom"/>
          </w:tcPr>
          <w:p>
            <w:pPr>
              <w:spacing w:after="0"/>
              <w:rPr>
                <w:sz w:val="23"/>
                <w:szCs w:val="2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91"/>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the nine months ended September 30, 2020, cash provided by operating activities was $19.2 million. The primary factors affecting our operating cash flows during the period included net income of $8.7 million, adjusted for non-cash charges of $16.2 million and net cash outflow of $5.7 million from changes in operating assets and liabilities. Non-cash charges primarily consisted of $9.7 million in depreciation and amortization, $4.3 million in stock-based compensation and $5.0 million in non-cash lease costs. The net cash outflow from changes in operating assets and liabilities was primarily due to decreases of $5.3 million in operating lease liabilities primarily from lease payments and $4.4 million in accrued and other current liabilities due to a decrease in accrued marketing expenses, partially offset by a $4.3 million increase in accounts receivable due to an increase in revenue.</w:t>
      </w:r>
    </w:p>
    <w:p>
      <w:pPr>
        <w:spacing w:after="0" w:line="1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the nine months ended September 30, 2021, cash used in operating activities was $1.5 million. The primary factors affecting our operating cash flows during the period included net loss of $34.6 million, adjusted for non-cash charges of $50.6 million and net cash outflow of $17.5 million from changes in operating assets and liabilities. Non-cash charges primarily consisted of $19.9 million in depreciation and amortization, $10.8 million in stock-based compensation, $10.1 million in change in fair value of contingent consideration related to earnouts, $5.8 million in non-cash lease costs, and $4.6 million in deferred taxes. The net cash outflow from changes in operating assets and liabilities was primarily due to a $18.7 million increase in accounts receivable due to an increase in revenue, a $7.9 million decrease in operating lease liabilities primarily from lease payments, and a $4.8 million increase in prepaid expenses and other assets due to an increase in contract assets and prepaid software. These changes were partially offset by a $15.2 million increase in accrued and other current liabilities due to an increase in accrued marketing expenses.</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year ended December 31, 2019, cash provided by operating activities was $31.4 million. The primary factors affecting our operating cash flows during the period included net income of $24.2 million, adjusted for non-cash charges of $23.5 million and net cash outflow of $16.3 million from changes in operating assets and liabilities. Non-cash charges primarily consisted of $9.4 million in depreciation and amortization, $0.2 million from loss on disposal of assets, $1.1 million in impairment of capitalized software development costs, $0.5 million of loss on in the remeasurement of the embedded derivative in long-term debt, $5.0 million in stock-based compensation, $1.4 million in deferred taxes, and $6.3 million in non-cash lease costs. These changes were partially offset by a $0.4 million in non-cash amortization of debt premium. The net cash outflow from changes in operating assets and liabilities was primarily due to a $12.9 million increase in accounts receivable due to an increase in revenue, a $0.7 million increase in prepaid expenses and other assets due to an increase in contract assets and prepaid software, offset by a decrease in prepaid income tax, a $0.3 million decrease in accounts payable, a $6.2 million decrease in operating lease liabilities primarily from lease payments during the period, and a $1.3 million decrease in other liabilities due to the elimination of deferred rent upon adoption of Topic 842. These changes were partially offset by a $5.1 million increase in accrued and other current liabilities due to an increase in accrued marketing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For the year ended December 31, 2020, cash provided by operating activities was $15.4 million. The primary factors affecting our operating cash flows during the period included net income of $5.3 million, adjusted for non-cash charges of $22.8 million and net cash outflow of $12.7 million from changes in operating assets and liabilities. Non-cash charges primarily consisted of $15.1 million in depreciation and amortization, $0.2 million in impairment of capitalized software development costs, $0.1 million of loss on in the remeasurement of the embedded derivative in long-term debt, $6.4 million in stock-based compensation, and $6.8 million in non-cash lease costs. These changes were partially offset by $0.4 million in non-cash amortization of debt premium, $0.8 million in change in fair value of contingent consideration related to earnouts, and $4.6 million in deferred taxes. The net cash outflow from changes in operating assets and liabilities was primarily due to a $4.8 million increase in prepaid expenses and other assets, a $5.3 million decrease in accrued and other current liabilities due to a decrease in accrued marketing expenses, a $7.1 million decrease in operating lease liabilities primarily from lease payments during the period, and a $0.1 million decrease in other liabilities due to an increase in deferred payroll taxes. These changes were partially offset by a $1.0 million decrease in accounts receivable and a $3.6 million increase in accounts payable related to an increase in marketing expenses.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nine months ended September 30, 2020, cash used in investing activities was $25.6 million, which consisted of capitalization of software development costs of $13.0 million, business combinations of $11.5 million, and purchases of property and equipment of $1.1 million.</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2021, cash used in investing activities was $16.3 million, which consisted of capitalization of software development costs of $15.6 million and purchases of property and equipment of $0.7 million.</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 ended December 31, 2019, cash used in investing activities was $14.8 million. The primary factors affecting our investing cash flows during the period included capitalization of software development costs of $14.1 million and purchase of property and equipment of $0.7 million.</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 ended December 31, 2020, cash used in investing activities was $55.4 million. The primary factors affecting our investing cash flows during the period included business combinations of $36.7 million, capitalization of software development costs of $17.4 million, and purchase of property and equipment of $1.3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2020, cash provided by financing activities was $5.9 million. The primary factor affecting our financing cash flows during the period was proceeds of $6.6 million from the exercise of stock options.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the nine months ended September 30, 2021, cash used in financing activities was $14.2 million. The primary factors affecting our financing cash flows during the period included $12.4 million of cash used to repurchase Class F common stock from our chief executive officer, $3.0 million of payments of deferred offering costs related to our initial public offering, $2.1 million of cash used to repurchase Series A preferred stock from a former member of our board of directors, $1.9 million of tax payments made related to net-share settlement on restricted stock units (RSUs), and $1.4 million of cash used as consideration for the cancellation of stock options. Cash used was partially offset by proceeds of $7.1 million from the exercise of stock options.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 ended December 31, 2019, cash used in financing activities was $1.4 million. The primary factors affecting our financing cash flows during the period included proceeds of $1.7 million from the exercise of stock options offset by $2.3 million of cash used to repurchase Class A common stock and $0.8 million of cash used as consideration for the cancellation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77</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 ended December 31, 2020, cash provided by financing activities was $55.7 million. The primary factors affecting our financing cash flows during the period included net proceeds of $54.3 million from the issuance of Class A common stock, and proceeds of $8.4 million from the exercise of stock options. Proceeds were partially offset by $5.0 million of principal repayments made on our credit facility, $1.2 million of repurchases of Class A common stock, $0.4 million of consideration for the cancellation of stock options and $0.4 million of tax payments made related to net-share settlements on RSUs.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 to and including the nine months ended September 30, 2021, we have not had any relationships with unconsolidated entities or financial partnerships for the purpose of facilitating off-balance sheet arrangements. As a result, we are not exposed to related financing, liquidity, market or credit risks that could arise if we had engaged in those types of arrangements.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principal contractual commitments consist of obligations under operating leases for real estate facilities and general office equipment, and our obligation under our long-term debt. Our long-term debt consists of promissory notes totaling $28.5 million. The notes bear interest at a rate of 4.2922% and mature in January 2026. In the event of a deemed liquidation event or initial public offering while the notes remain outstanding, we must repay the notes in an amount equal to the outstanding principal plus an unpaid accrued interest, to the extent there are proceeds available after payment of senior obligations. As discussed in “Use of Proceeds”, we intend to pay off these notes with the proceeds from this offering. The following table summarizes our consolidated principal contractual cash obligations, as of December 31, 2020 for the periods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0" w:type="dxa"/>
            <w:vAlign w:val="bottom"/>
            <w:gridSpan w:val="5"/>
          </w:tcPr>
          <w:p>
            <w:pPr>
              <w:jc w:val="right"/>
              <w:ind w:right="336"/>
              <w:spacing w:after="0"/>
              <w:rPr>
                <w:sz w:val="20"/>
                <w:szCs w:val="20"/>
                <w:color w:val="auto"/>
              </w:rPr>
            </w:pPr>
            <w:r>
              <w:rPr>
                <w:rFonts w:ascii="Arial" w:cs="Arial" w:eastAsia="Arial" w:hAnsi="Arial"/>
                <w:sz w:val="14"/>
                <w:szCs w:val="14"/>
                <w:b w:val="1"/>
                <w:bCs w:val="1"/>
                <w:color w:val="auto"/>
                <w:w w:val="94"/>
              </w:rPr>
              <w:t>Payments Due by Period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Less Than 1 Year</w:t>
            </w:r>
          </w:p>
        </w:tc>
        <w:tc>
          <w:tcPr>
            <w:tcW w:w="240" w:type="dxa"/>
            <w:vAlign w:val="bottom"/>
          </w:tcPr>
          <w:p>
            <w:pPr>
              <w:spacing w:after="0"/>
              <w:rPr>
                <w:sz w:val="16"/>
                <w:szCs w:val="16"/>
                <w:color w:val="auto"/>
              </w:rPr>
            </w:pP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1-3 Years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More Than 5 Years</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Consists of future non-cancelable minimum rental payments under operating leases for our real estate facilities and general office equipment.</w:t>
      </w:r>
    </w:p>
    <w:p>
      <w:pPr>
        <w:spacing w:after="0" w:line="43" w:lineRule="exact"/>
        <w:rPr>
          <w:rFonts w:ascii="Arial" w:cs="Arial" w:eastAsia="Arial" w:hAnsi="Arial"/>
          <w:sz w:val="14"/>
          <w:szCs w:val="14"/>
          <w:color w:val="auto"/>
        </w:rPr>
      </w:pPr>
    </w:p>
    <w:p>
      <w:pPr>
        <w:ind w:left="340" w:hanging="332"/>
        <w:spacing w:after="0" w:line="289" w:lineRule="auto"/>
        <w:tabs>
          <w:tab w:leader="none" w:pos="3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above table does not reflect expected tax payments and unrecognized tax benefits due to the inability to make reasonably reliable estimates of the timing and amount of payments. For additional discussion on unrecognized tax benefits, see Note 11</w:t>
      </w:r>
      <w:r>
        <w:rPr>
          <w:rFonts w:ascii="Arial" w:cs="Arial" w:eastAsia="Arial" w:hAnsi="Arial"/>
          <w:sz w:val="17"/>
          <w:szCs w:val="17"/>
          <w:color w:val="auto"/>
        </w:rPr>
        <w:t>–</w:t>
      </w:r>
      <w:r>
        <w:rPr>
          <w:rFonts w:ascii="Arial" w:cs="Arial" w:eastAsia="Arial" w:hAnsi="Arial"/>
          <w:sz w:val="14"/>
          <w:szCs w:val="14"/>
          <w:color w:val="auto"/>
        </w:rPr>
        <w:t xml:space="preserve"> Income Taxes in the notes to the accompanying consolidated financial statements.</w:t>
      </w:r>
    </w:p>
    <w:p>
      <w:pPr>
        <w:spacing w:after="0" w:line="1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a lease signed in April 2021 for the sublease of new office space in San Francisco which is expected to commence in the fourth quarter of 2021 will cost up to $0.2 million per month.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accounting policies we believe to be most critical to understanding our financial condition and results of operations are discussed below. For a comprehensive list of all significant accounting policies refer to Note 1 – The Company and its Significant Accounting Policies in the notes to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78</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revenue from fees paid by our financial services partners in the form of either revenue per action, revenue per click, revenue per lead, and revenue per funded loan arrangements. Services are generally transferred to the customer at a point in time and the performance obligation is a series of distinct actions, leads, or clicks.</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some of our arrangements, under ASC 606 (Revenue from Contracts with Customers) our contractual right to fees is not contemporaneous with the satisfaction of the performance obligation to match the consumer with the customer. As a result, the transaction price is considered variable and an estimate of the constrained transaction price is recorded as revenue when the match occurs, subject to a constraint. Constrained revenue is recognized to the extent that it is probable that a significant reversal in the amount of cumulative revenue recognized will not occur. After our initial estimate and constraints are made, we reassess our estimates and constraints at the end of each reporting period. Various factors are analyzed to estimate the constrained revenue, including historical approval rates and historical time between when a consumer request for a financial product is delivered to a financial services partner and when the financial product is approved by such financial services partner.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Goodwill and Intangible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a business combination. We have one reporting unit. We test goodwill for impairment annually or more frequently when an event occurs or circumstances change that indicate the carrying value may not be recoverable. As a result of the goodwill impairment assessment in 2019 and 2020, we determined that it was not more likely than not that the fair value of its single reporting unit was less than its carrying amount. As such, goodwill was not impaired during the years ended December 31, 2019 and December 31, 2020, or the nine months ended September 30, 2021.</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evaluate intangible assets and other long-lived assets for impairment whenever events or circumstances indicate that they may not be recoverable. Recoverability is assessed by comparing the carrying amount of an asset group to future undiscounted net cash flows expected to be generated. If the carrying amount of an asset group is not recoverable, an impairment loss is recognized if the carrying amount exceeds the fair value of the asset group. We group assets for purposes of such review at the lowest level for which identifiable cash flows of the asset group are largely independent of the cash flows of the other groups of assets and liabilities. Unforeseen events, changes in circumstances and market conditions and material differences in estimates of future cash flows could adversely affect the fair value of our assets and could result in future impairment charges.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recorded contingent consideration in connection with certain business combinations that require us to pay cash consideration to the seller upon achievement of certain metrics during the years ending December 31, 2021 and 2022. We record the fair value of contingent consideration at the date of the acquisition and measure it using unobservable, Level 3 inputs, due to the absence of quoted market prices. Subsequent to the acquisition date, at each reporting date, the contingent consideration liability is remeasured to fair value with changes in fair value recorded in operating expenses, net on the consolidated statement of operations. We value contingent consideration using a Monte Carlo simulation model, which requires critical estimates to be made, including projected financial information, market volatility, risk-adjusted discount rates and timing of contractual payments. Changes in any one of these inputs may result in a significantly different fair value of the contingent consideration.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Tax Asset Valuation Allowances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fulfilling the requirement to reduce the measurement of deferred tax assets that are not expected to be realized, we consider all available evidence, both positive and negative, to determine whether, based on the weight of that evidence, a valuation allowance for deferred tax assets is needed. In assessing the adequacy of recognized valuation allowances, we consider all available evidence to estimate if sufficient taxable income will be generated in the future to utilize the existing deferred tax assets by jurisdiction. This consideration includes a variety of factors such as historical and projected future taxable income and prudent and feasible tax planning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79</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our ongoing assessment of all available positive and negative evidence, including consideration of our future operating model and the expected impacts on our profitability, we recorded a valuation allowance against our U.S. deferred tax assets of $13.2 million during the quarter ended September 30, 2021. Our judgment regarding the likelihood of realization of these deferred tax assets could change in future periods, which could result in a material impact to our income tax provision in the period of change.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completion of this offering, as our common shares were not listed on a public marketplace, the calculation of the fair value of our common shares was subject to a greater degree of estimation in determining the basis for share-based awards that were issued. Given the absence of a public market, we were required to estimate the fair value of the common shares at the time of each grant.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granted stock-based awards consisting primarily of stock options and RSUs to employees and non-employees. We estimate the grant date fair value of stock options granted to employees and nonemployees using the Black-Scholes option-pricing model. The fair value of stock options that is expected to vest is recognized as compensation expense on a straight-line basis over the requisite service period, which is typically the vesting period of the respective awards. We recognize forfeitures as they occur for equity awards with only a service condition, rather than estimate expected forfeitures.</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Black-Scholes-Merton option-pricing model considers several variables and assumptions in estimating the grant date fair value of stock-based awards. These assumptions include:</w:t>
      </w:r>
    </w:p>
    <w:p>
      <w:pPr>
        <w:spacing w:after="0" w:line="116" w:lineRule="exact"/>
        <w:rPr>
          <w:sz w:val="20"/>
          <w:szCs w:val="20"/>
          <w:color w:val="auto"/>
        </w:rPr>
      </w:pPr>
    </w:p>
    <w:p>
      <w:pPr>
        <w:jc w:val="both"/>
        <w:ind w:left="66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Fair Value of Class A Common Stock</w:t>
      </w:r>
      <w:r>
        <w:rPr>
          <w:rFonts w:ascii="Arial" w:cs="Arial" w:eastAsia="Arial" w:hAnsi="Arial"/>
          <w:sz w:val="18"/>
          <w:szCs w:val="18"/>
          <w:color w:val="auto"/>
        </w:rPr>
        <w:t>—Because our Class A common stock is not yet publicly traded, we must estimate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Our board of directors considers numerous objective and subjective factors to determine the fair value of our Class A common stock as discussed in “Common Stock Valuations” below.</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We estimate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based on the simplified method.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—Expected volatility is a measure of the amount by which the stock price is expected to fluctuate. Since we do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trading history of our Class A common stock, we estimate the expected volatility by taking the average historical volatility of a group of comparable publicly traded companies over a period equal to the expected term of the awards.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expected term of the stock option award.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—We utilize a dividend yield of zero, as we do not currently issue dividends, nor do we expect to do so in the future.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fair value of RSUs is estimated based on the fair value of our Class A common stock on the date of grant. The fair value of RSUs that are expected to vest is recognized as compensation expense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80</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this offering, given the absence of a public trading market for our Class A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Class A common stock underlying the stock options and RSUs, including:</w:t>
      </w:r>
    </w:p>
    <w:p>
      <w:pPr>
        <w:spacing w:after="0" w:line="13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contemporaneous valuations of our Class A common stock by an independent valuation specialist;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prices at which others have sold our common and redeemable convertible preferred stock to outside investors in arms-length transactions;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industry outlook;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fact that option and RSU grants have involved rights in illiquid securities in a private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valuation of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lack of marketability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initial public offering or a sale of our company given prevailing market conditions;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history and nature of our business, industry trends, and competitive environment;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general economic outlook including economic growth, inflation, unemployment, interest rate environment, and global economic trends.</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To determine the fair value of our Class A common stock, we first determined our enterprise value and then allocated that enterprise value among the various classes of our equity securities. Our enterprise value was estimated using two generally accepted approaches: the income approach and the market approach. 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we also considered any secondary transactions, including third party tender offers,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Class A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81</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relationships between those assumptions impact our valuations as of each valuation date and may have a material impact on the valuation of our Class A common stock.</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valuations after the closing of this offering, our board of directors will determine the fair value of each share of underlying Class A common stock based on the closing price of our Class A common stock as reported on the date of grant.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on recent accounting pronouncements, see Note 1 – The Company and its Significant Accounting Policies in the notes to the accompanying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Most of our revenue is generated in U.S. dollars, with the remainder generated in British pounds sterling. Our expenses are generally denominated in the currencies of the jurisdictions in which we conduct our operations, which are primarily in the U.S. and UK.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 statements for the years ended December 31, 2020 and 2019 or for the nine months ended September 30, 2021.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cash and cash equivalents primarily consist of cash on hand and highly liquid investments in money market instruments and U.S. government securities. We had cash and cash equivalents of $83.4 million and $51.5 million as of December 31, 2020 and September 30, 2021, respectively. We do not enter into investments for trading or speculative purposes. Our investments are exposed to market risk due to fluctuations in interest rates, which may affect our interest income and the fair market value of our investments. However, due to the short-term nature of our investment portfolio, we do not believe an immediate 10% increase or decrease in interest rates would have a material effect on the fair market value of our portfolio.</w:t>
      </w:r>
    </w:p>
    <w:p>
      <w:pPr>
        <w:spacing w:after="0" w:line="10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therefore do not expect our operating results or cash flows to be materially affected by a sudden change in market interest rates due to changes in the fair market value of our portfolio. However, changes in market interest rates could adversely impact our business, financial condition and results of operations. For additional information, see the sections titled “Risk Factors—Risks Related to Our Industry and the Consumer Finance Economy.”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future borrowings on our line of credit would be subject to changes in interest 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w:t>
      </w:r>
    </w:p>
    <w:p>
      <w:pPr>
        <w:spacing w:after="0" w:line="2" w:lineRule="exact"/>
        <w:rPr>
          <w:sz w:val="20"/>
          <w:szCs w:val="20"/>
          <w:color w:val="auto"/>
        </w:rPr>
      </w:pPr>
    </w:p>
    <w:p>
      <w:pPr>
        <w:jc w:val="both"/>
        <w:ind w:right="20" w:firstLine="8"/>
        <w:spacing w:after="0" w:line="255" w:lineRule="auto"/>
        <w:tabs>
          <w:tab w:leader="none" w:pos="2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82</w:t>
      </w:r>
    </w:p>
    <w:p>
      <w:pPr>
        <w:sectPr>
          <w:pgSz w:w="11900" w:h="16838" w:orient="portrait"/>
          <w:cols w:equalWidth="0" w:num="1">
            <w:col w:w="11240"/>
          </w:cols>
          <w:pgMar w:left="320" w:top="1440" w:right="339" w:bottom="1440"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346075</wp:posOffset>
            </wp:positionV>
            <wp:extent cx="7029450" cy="9086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02945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NerdWallet provides trustworthy financial guidance to consumers and SMBs.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NerdWallet, we empower consumers—both individual consumers and SMBs—to make smarter financial decisions with confidence via our digital platform. Technology has changed the way consumers manage their financial lives, making them more comfortable with comparing and shopping for financial products online. This change has accelerated with the dramatic growth in companies offering innovative financial products. At NerdWallet, we are leveraging this transformation to democratize access to trustworthy financial guidance—ultimately helping to improve the financial well-being of consumers and the financial services industry as a whole. As the financial services industry becomes more fragmented and complex, our value proposition as a trusted, independent platform for consumers increases.</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deliver guidance to consumers through educational content, tools and calculators, product marketplaces and the NerdWallet app. Our platform delivers unique value across many financial products, including credit cards, mortgages, insurance, SMB products, personal loans, banking, investing and student loans, and has grown to include the UK and Canadian markets, with plans for further international expansion. Across every touchpoint, the cornerstone of our platform is our consumers’ trust in the independent, objective and relevant guidance we provide, free of charge.</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trusted guidance has helped us build a large, loyal and well-informed audience of consumers who turn to us as a resource for many of their money questions and to shop for the best financial products for them. We then use machine learning to present personalized options using aggregated and scalable information. As a result, we have become an attractive partner for financial services providers wanting access to high-value consumers—consumers who might not otherwise trust these financial services providers’ recommendations because their guidance is inherently biased toward their own products.</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By operating at the intersection of consumers and financial services providers, NerdWallet drives value for both. Through our platform, our financial services partners can reach a substantial audience—we had 20 million MUUs per month on average in the first nine months of 2021. After doing research on our platform, these consumers are better informed about the financial decision they’re about to make and often primed and ready to transact. When consumers are more informed about their financial decisions, they make the appropriate decisions for their needs with confidence, increasing their lifetime value to financial services providers as customers. We have also received feedback from our financial services partners that our users’ approval rates can be significantly higher than those applying through other channels. Plus, as consumers’ smart money moves expand their options, they are eager to explore additional opportunities and products they are now eligible for, driving further demand for NerdWallet’s financial services partners. To meet the standards of more informed consumers, financial services providers in turn must engage in healthy competition for consumer mindshare and develop better financial products, further improving the outcomes for consumers.</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NerdWallet’s ability to serve consumers and financial services providers hinges on our position as an independent, unbiased resource. The core strength of our platform is the trust that we build with consumers and the tailored and personalized recommendations we deliver via our data science models. Our consumer-first values and consumer-centric mission permeate everything we do and have been key to building and maintaining trust—it’s the “consumer, company, team, self” value that guides our decision making and product development. Across the company, Nerds engage every day with our values and mission to democratize trusted, accessible guidance and tools, leveling the playing field for everyone.</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These values will benefit us over the long-term as we build on our leadership as the place consumers turn to first for financial guidance. We have already achieved massive, top-of-funnel reach. By adhering to our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84</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 value, we will not only empower consumers to make better financial decisions, but also help our financial services partners more effectively find new customers well-suited to their products.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fiscal years ended December 31, 2019 and 2020, our revenue was $228.3 million and $245.3 million, respectively, representing year-over-year growth of 7%. For the nine months ended September 30, 2020 and 2021, our revenue was $188.6 million and $280.1 million, respectively. We generated net income of $24.2 million and $5.3 million for the fiscal years ended December 31, 2019 and 2020, respectively, and net income (loss) of $8.7 million and $(34.6) million for the nine months ended September 30, and 2021,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in our Favor</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Many trends are transforming the way consumers and SMBs manage their finances and several of these trends accelerated during the COVID-19 pandemic creating tailwinds in our industry.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Consumers Manage Their Lives Digitally, and Financial Wellness is at the Forefront of This Change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Increasingly, we use a digital-first approach to managing our lives: we manage appointments, book vacations, plan events and shop using apps and this has been especially true in the wake of the COVID-19 pandemic. During the past several years, this digital-first approach has also permeated personal finance with consumers expecting to have the ability to manage all aspects of their financial wellness online. To meet this consumer demand, traditional financial services providers have established digital interfaces and are continually adding new functionality. At the same time, successful fintech companies are proliferating and setting new standards for digital experiences. These new players are responding to changing consumer expectations by disrupting nearly every aspect of personal finance and offering a wide range of faster, better and cheaper digital services, continually altering the competitive landscape. By focusing on distinct personal financial products, fintech companies have unbundled personal finance and have provided value that conventional financial services providers cannot, often improving and expanding consumers’ choices and therefore, overall financial wellness.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Consumers Are Inundated With Choice and Complexity, but Unbiased Financial Guidance is Difficult to Find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digital access and an increasing number of fintech companies are making it easier to invest, make payments and even take out a loan, the explosion of market participants also makes it increasingly difficult and time consuming for consumers to sift through all of the options to determine which product is best suited to their personal financial needs.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Financial products and services are complex and consumers are seeking ways to compare and better understand their options. Many consumers do not have a trusted financial advisor to help them navigate this complexity and instead seek advice online. Unfortunately, finding trustworthy financial guidance online can be challenging. Fees are not always transparent, there is not a standard route to achieve financial literacy and creative marketing can leave consumers feeling overwhelmed. In 2021, only 59% of adults in the United States received a passing score on the National Financial Literacy Test.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Consumers Want to Know They’ve Made the Right Choice in Their Financial Lives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Consumers want to take control of their financial well-being, ensure they’re getting the right deal, understand exactly what they’re signing up for and have confidence in their decisions. This desire to understand and feel well-informed about finances is prevalent across all generations. Even among the newest Gen Z consumers, many of whom may not have much experience with personal finance or even own a credit card, 89% surveyed in a 2021 Tallo study said that it’s a priority for them to learn about personal finance and 75% are interested in taking personal finance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85</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414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14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Platform</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developed a consumer-first platform that empowers consumers and SMBs to make well-informed financial decisions at the right time and with confidence. The cornerstone of our platform is consumer trust in the independent, objective, and relevant guidance we provide, free of charge. Given it is incredibly difficult for any one person to be deeply knowledgeable across all areas of personal finance, we have a 100+ person editorial team that functions as the “brains” behind our guidance. Our writers and editors, who have joined us from notable publications including Bloomberg and The Wall Street Journal, cover specific verticals day in and day out, and, as a result, are deeply knowledgeable about the financial areas they cover, producing high-quality and award-winning guidance. For example, Liz Weston, a certified financial planner, is one of our subject matter experts covering topics including credit score, debt management, and retirement spending. She has worked at the Los Angeles Times, MSN, Reuters and literally wrote the book on how to improve your credit score. The work of writers like Liz, and of our editorial team as a whole, is not only a key reason consumers trust our brand and turn to us for many of their financial questions, it is also the foundation of our personalized guidance and our “nudges.” The guidance developed by our editorial team is codified by our product team to create the insights surfaced across our platform. It’s through this unique combination of human-powered guidance and machine learning capabilities, that we can provide consumers with high-quality and personalized insights.</w:t>
      </w:r>
    </w:p>
    <w:p>
      <w:pPr>
        <w:spacing w:after="0" w:line="1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trusted guidance has enabled us to build a large, well-informed audience, many of whom are ready to transact. Accordingly, we have become an attractive partner for financial services providers wanting to reach these high value consumers. Today, our platform stretches across many financial products, including credit cards, mortgages, insurance, SMB products, personal loans, banking, investing and student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86</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platform aligns the interests of consumers and SMBs seeking financial guidance and products with the financial services providers that offer these products. A successful initial experience often leads to follow-up activity on our platform and we believe it also leads to higher customer lifetime value for the financial services providers. This alignment of interests, enabled by our unbiased and trusted guidance, benefits consumers, the financial services partners and NerdWallet.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built NerdWallet with the following key assumptions:</w:t>
      </w:r>
    </w:p>
    <w:p>
      <w:pPr>
        <w:spacing w:after="0" w:line="17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Everything starts with trust;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Consumers have an unmet need for unbiased guidance to inform their financial decisions;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is a compelling opportunity to use data to personalize and automate guidance at scale.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Starting with these assumptions, we offer the following benefits to consumers and to our financial services partners.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Benefits of Our Platform for Consumers and SMBs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platform is designed to empower consumers and SMBs to gain clarity about their financial decisions, help them make optimal decisions and instill them with a sense of confidence in their choices. We accomplish this by:</w:t>
      </w:r>
    </w:p>
    <w:p>
      <w:pPr>
        <w:spacing w:after="0" w:line="116" w:lineRule="exact"/>
        <w:rPr>
          <w:sz w:val="20"/>
          <w:szCs w:val="20"/>
          <w:color w:val="auto"/>
        </w:rPr>
      </w:pPr>
    </w:p>
    <w:p>
      <w:pPr>
        <w:jc w:val="both"/>
        <w:ind w:left="660" w:hanging="328"/>
        <w:spacing w:after="0" w:line="254"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Providing Comprehensive Guidance with an Independent, Unbiased Editorial Team. </w:t>
      </w:r>
      <w:r>
        <w:rPr>
          <w:rFonts w:ascii="Arial" w:cs="Arial" w:eastAsia="Arial" w:hAnsi="Arial"/>
          <w:sz w:val="18"/>
          <w:szCs w:val="18"/>
          <w:color w:val="auto"/>
        </w:rPr>
        <w:t>We build trust by offering guidance that is credible,</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and grounded in our consumer-first values. We establish credibility with financial product reviews and content that cover a myriad of topics, developed by our editorial team which is not influenced by monetization. One of our core values is “consumer, company, team, self.” Consistent with that value, we uphold rigorous editorial standards, and all of our articles, reviews and recommendations are written by our independent editorial team. The value of our brand and long-term relationships with consumers are more important to us than any short-term benefit we may derive from any transaction conducted on our platform. We believe that the result of this approach is the direct, ongoing, trusted relationship we have with our users.</w:t>
      </w:r>
    </w:p>
    <w:p>
      <w:pPr>
        <w:spacing w:after="0" w:line="140"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Using Simplicity and Transparency to Enable Well-Informed Decisions. </w:t>
      </w:r>
      <w:r>
        <w:rPr>
          <w:rFonts w:ascii="Arial" w:cs="Arial" w:eastAsia="Arial" w:hAnsi="Arial"/>
          <w:sz w:val="17"/>
          <w:szCs w:val="17"/>
          <w:color w:val="auto"/>
        </w:rPr>
        <w:t>We write our articles to appeal to everyone, ranging from the casual reader</w:t>
      </w:r>
      <w:r>
        <w:rPr>
          <w:rFonts w:ascii="Arial" w:cs="Arial" w:eastAsia="Arial" w:hAnsi="Arial"/>
          <w:sz w:val="17"/>
          <w:szCs w:val="17"/>
          <w:i w:val="1"/>
          <w:iCs w:val="1"/>
          <w:color w:val="auto"/>
        </w:rPr>
        <w:t xml:space="preserve"> </w:t>
      </w:r>
      <w:r>
        <w:rPr>
          <w:rFonts w:ascii="Arial" w:cs="Arial" w:eastAsia="Arial" w:hAnsi="Arial"/>
          <w:sz w:val="17"/>
          <w:szCs w:val="17"/>
          <w:color w:val="auto"/>
        </w:rPr>
        <w:t>to someone looking to understand more complex details on a topic. Regardless of the consumer need, we bring a level of clarity to help consumers make sense of even the most complex financial topics. Our content is delivered in a variety of digestible formats, and our comparisons provide transparency on both price and features, given that a particular financial product may appeal to different consumers for different reasons. For example, while some consumers may be looking for the lowest interest rate on a credit card, others may never plan to carry a balance and instead may be looking for the best cash back or rewards offering.</w:t>
      </w:r>
    </w:p>
    <w:p>
      <w:pPr>
        <w:spacing w:after="0" w:line="123" w:lineRule="exact"/>
        <w:rPr>
          <w:rFonts w:ascii="Arial" w:cs="Arial" w:eastAsia="Arial" w:hAnsi="Arial"/>
          <w:sz w:val="17"/>
          <w:szCs w:val="17"/>
          <w:color w:val="auto"/>
        </w:rPr>
      </w:pPr>
    </w:p>
    <w:p>
      <w:pPr>
        <w:jc w:val="both"/>
        <w:ind w:left="660" w:hanging="328"/>
        <w:spacing w:after="0" w:line="272"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Acting as a Trusted Guide and Navigator, Providing Personalized Guidance. </w:t>
      </w:r>
      <w:r>
        <w:rPr>
          <w:rFonts w:ascii="Arial" w:cs="Arial" w:eastAsia="Arial" w:hAnsi="Arial"/>
          <w:sz w:val="17"/>
          <w:szCs w:val="17"/>
          <w:color w:val="auto"/>
        </w:rPr>
        <w:t>Democratizing access to financial guidance is only half of our vision;</w:t>
      </w:r>
      <w:r>
        <w:rPr>
          <w:rFonts w:ascii="Arial" w:cs="Arial" w:eastAsia="Arial" w:hAnsi="Arial"/>
          <w:sz w:val="17"/>
          <w:szCs w:val="17"/>
          <w:i w:val="1"/>
          <w:iCs w:val="1"/>
          <w:color w:val="auto"/>
        </w:rPr>
        <w:t xml:space="preserve"> </w:t>
      </w:r>
      <w:r>
        <w:rPr>
          <w:rFonts w:ascii="Arial" w:cs="Arial" w:eastAsia="Arial" w:hAnsi="Arial"/>
          <w:sz w:val="17"/>
          <w:szCs w:val="17"/>
          <w:color w:val="auto"/>
        </w:rPr>
        <w:t>the other half is to make it frictionless for consumers to make financial decisions. We built our platform to appeal to both consumers looking to “do it themselves,” as well as those looking for more support managing their financial well-being. We make it easy for our Registered Users to stay on top of their money by centralizing many of their product decisions in one place. Consumers can get a holistic view of their finances, and hone in on specific details about their spending and saving patterns across accounts. By combining insights from our award-winning editorial team with our machine learning capabilities, we are able to recommend smart money moves via contextual “nudges.” As a result, we have become a one-stop-shop for consumers to track, manage and plan their financial futures.</w:t>
      </w:r>
    </w:p>
    <w:p>
      <w:pPr>
        <w:spacing w:after="0" w:line="123"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Providing Comprehensive Coverage Across Major Financial Verticals. </w:t>
      </w:r>
      <w:r>
        <w:rPr>
          <w:rFonts w:ascii="Arial" w:cs="Arial" w:eastAsia="Arial" w:hAnsi="Arial"/>
          <w:sz w:val="18"/>
          <w:szCs w:val="18"/>
          <w:color w:val="auto"/>
        </w:rPr>
        <w:t>Today, we have financial services partners in eight financial verticals:</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cards, mortgages, insurance, SMB products, personal loans, banking, investing and student loans. We partner with over 400 organizations, from the largest financial services providers to the most disruptive startups. This comprehensive coverage shows consumers who may be seeking guidance in one area, such as credit cards, the expertise that we provide in other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87</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verticals like renters insurance and deposit accounts. Our guidance, however, is not limited to areas with existing partner relationships or those that we monetize. We quickly adapt to the evolving financial interests of consumers and can easily add coverage in new areas. Specifically, during the COVID-19 pandemic, we added a COVID hub that covered topics such as paycheck protection program (PPP) loans and their forgiveness, unemployment benefits, coverage of debt relief packages (e.g. student loan forbearance), life insurance and personal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74295</wp:posOffset>
            </wp:positionV>
            <wp:extent cx="5349240" cy="3703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Benefits of Our Platform for Our Partners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bring our financial services partners well-matched and well-informed consumers. These consumers also frequently have desirable characteristics— they have higher credit scores and maintain higher levels of investable assets—making them highly attractive for our financial services partners. We have received feedback from financial services partners that our users’ approval rates can be significantly higher than those applying through other channels. Benefits that we provide to our financial services partners include:</w:t>
      </w:r>
    </w:p>
    <w:p>
      <w:pPr>
        <w:spacing w:after="0" w:line="133" w:lineRule="exact"/>
        <w:rPr>
          <w:sz w:val="20"/>
          <w:szCs w:val="20"/>
          <w:color w:val="auto"/>
        </w:rPr>
      </w:pPr>
    </w:p>
    <w:p>
      <w:pPr>
        <w:jc w:val="both"/>
        <w:ind w:left="660" w:hanging="328"/>
        <w:spacing w:after="0" w:line="290" w:lineRule="auto"/>
        <w:tabs>
          <w:tab w:leader="none" w:pos="655"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Huge Audience and Reach, with an Average of 20 Million Consumers Turning to the Nerds This Year. </w:t>
      </w:r>
      <w:r>
        <w:rPr>
          <w:rFonts w:ascii="Arial" w:cs="Arial" w:eastAsia="Arial" w:hAnsi="Arial"/>
          <w:sz w:val="16"/>
          <w:szCs w:val="16"/>
          <w:color w:val="auto"/>
        </w:rPr>
        <w:t>During the first nine months of 2021, we</w:t>
      </w:r>
      <w:r>
        <w:rPr>
          <w:rFonts w:ascii="Arial" w:cs="Arial" w:eastAsia="Arial" w:hAnsi="Arial"/>
          <w:sz w:val="16"/>
          <w:szCs w:val="16"/>
          <w:i w:val="1"/>
          <w:iCs w:val="1"/>
          <w:color w:val="auto"/>
        </w:rPr>
        <w:t xml:space="preserve"> </w:t>
      </w:r>
      <w:r>
        <w:rPr>
          <w:rFonts w:ascii="Arial" w:cs="Arial" w:eastAsia="Arial" w:hAnsi="Arial"/>
          <w:sz w:val="16"/>
          <w:szCs w:val="16"/>
          <w:color w:val="auto"/>
        </w:rPr>
        <w:t>hosted an average of 20 million MUUs, up 23% from the first nine months of 2020. We also over-index on attracting consumers with high credit scores who are inundated with choices and seek an independent third party to help them find the right product for their distinct needs. These individuals receive many offers for financial products because they are often the most attractive customers for financial services providers as they tend to drive long-term value. We believe we drive strong conversion both on and off our platform. For example, tracking tests with our financial partners in our credit cards vertical have shown that on average, for every transaction that happens through NerdWallet, one or more additional transactions with a user occur with the partner as a result of the user previously engaging with our platform. This encourages our financial services partners to continue promoting their products through NerdWallet, as we are a channel for them to acquire attractive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88</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jc w:val="both"/>
        <w:ind w:left="328" w:hanging="328"/>
        <w:spacing w:after="0" w:line="291" w:lineRule="auto"/>
        <w:tabs>
          <w:tab w:leader="none" w:pos="323"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Access to Consumers Who Are Ready to Transact. </w:t>
      </w:r>
      <w:r>
        <w:rPr>
          <w:rFonts w:ascii="Arial" w:cs="Arial" w:eastAsia="Arial" w:hAnsi="Arial"/>
          <w:sz w:val="16"/>
          <w:szCs w:val="16"/>
          <w:color w:val="auto"/>
        </w:rPr>
        <w:t>While our expertise and personalized guidance is helpful for consumers at all stages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decision-making process, many of the consumers that use NerdWallet are already poised to make a transaction, using NerdWallet as the final check. For our financial services partners, this leads to more engaged potential customers, who have a better understanding of our partners’ products than the average customer. We believe that these high-quality matches can result in higher customer lifetime values for our partners. In addition to providing our financial services partners with attractive potential customers, we do so just as consumers’ purchase intent is the highest. Because of this, some financial services partners choose to market special or unique offers first or only through NerdWallet. For example, Discover digitally re-introduced their balance transfer product exclusively on NerdWallet for a one month period in February 2021.</w:t>
      </w:r>
    </w:p>
    <w:p>
      <w:pPr>
        <w:spacing w:after="0" w:line="112" w:lineRule="exact"/>
        <w:rPr>
          <w:rFonts w:ascii="Arial" w:cs="Arial" w:eastAsia="Arial" w:hAnsi="Arial"/>
          <w:sz w:val="16"/>
          <w:szCs w:val="16"/>
          <w:color w:val="auto"/>
        </w:rPr>
      </w:pPr>
    </w:p>
    <w:p>
      <w:pPr>
        <w:jc w:val="both"/>
        <w:ind w:left="328" w:right="20" w:hanging="328"/>
        <w:spacing w:after="0" w:line="301" w:lineRule="auto"/>
        <w:tabs>
          <w:tab w:leader="none" w:pos="323"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Positive Brand Association. </w:t>
      </w:r>
      <w:r>
        <w:rPr>
          <w:rFonts w:ascii="Arial" w:cs="Arial" w:eastAsia="Arial" w:hAnsi="Arial"/>
          <w:sz w:val="16"/>
          <w:szCs w:val="16"/>
          <w:color w:val="auto"/>
        </w:rPr>
        <w:t>All of our articles, reviews and recommendations are written by our independent editorial team, and because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consumers trust our assessment of the financial services and products offered on our platform. As a result, we believe that our financial services partners greatly benefit from placement on our Best-of Awards lists, in our reviews and within other NerdWallet content. In fact, 60% of the financial services providers who won a Best-of award in 2020 have promoted their designation in their own marketing efforts.</w:t>
      </w:r>
    </w:p>
    <w:p>
      <w:pPr>
        <w:spacing w:after="0" w:line="103" w:lineRule="exact"/>
        <w:rPr>
          <w:rFonts w:ascii="Arial" w:cs="Arial" w:eastAsia="Arial" w:hAnsi="Arial"/>
          <w:sz w:val="16"/>
          <w:szCs w:val="16"/>
          <w:color w:val="auto"/>
        </w:rPr>
      </w:pPr>
    </w:p>
    <w:p>
      <w:pPr>
        <w:jc w:val="both"/>
        <w:ind w:left="328" w:hanging="328"/>
        <w:spacing w:after="0" w:line="255" w:lineRule="auto"/>
        <w:tabs>
          <w:tab w:leader="none" w:pos="323"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Exposure to Consumers Seeking a Broader Range of Financial Products. </w:t>
      </w:r>
      <w:r>
        <w:rPr>
          <w:rFonts w:ascii="Arial" w:cs="Arial" w:eastAsia="Arial" w:hAnsi="Arial"/>
          <w:sz w:val="18"/>
          <w:szCs w:val="18"/>
          <w:color w:val="auto"/>
        </w:rPr>
        <w:t>Given the breadth of our expertise, consumers are able to use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multiple facets of their financial well-being beyond their initial transactions. Through the wide range of guidance that we offer, consumers are exposed to relevant products outside of the one they are researching at a given time. For example, a consumer researching credit cards may see a relevant article regarding mortgages, then remember that article when they are in the market for a mortgage at a later date. As a result, consumers are exposed to our financial services partners’ products at various points in their financial journey, increasing the value of our platform both to consumers and financial services partners.</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Our Strengths</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8"/>
          <w:szCs w:val="18"/>
          <w:color w:val="auto"/>
        </w:rPr>
        <w:t>We have five core strengths that provide us with a competitive advantage:</w:t>
      </w:r>
    </w:p>
    <w:p>
      <w:pPr>
        <w:spacing w:after="0" w:line="167" w:lineRule="exact"/>
        <w:rPr>
          <w:sz w:val="20"/>
          <w:szCs w:val="20"/>
          <w:color w:val="auto"/>
        </w:rPr>
      </w:pPr>
    </w:p>
    <w:p>
      <w:pPr>
        <w:jc w:val="both"/>
        <w:ind w:left="328" w:hanging="328"/>
        <w:spacing w:after="0" w:line="256" w:lineRule="auto"/>
        <w:tabs>
          <w:tab w:leader="none" w:pos="323"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Trusted Platform for Consumer and SMB Financial Guidance. </w:t>
      </w:r>
      <w:r>
        <w:rPr>
          <w:rFonts w:ascii="Arial" w:cs="Arial" w:eastAsia="Arial" w:hAnsi="Arial"/>
          <w:sz w:val="18"/>
          <w:szCs w:val="18"/>
          <w:color w:val="auto"/>
        </w:rPr>
        <w:t>We believe our strategy of optimizing guidance for the consumer, as opposed</w:t>
      </w:r>
      <w:r>
        <w:rPr>
          <w:rFonts w:ascii="Arial" w:cs="Arial" w:eastAsia="Arial" w:hAnsi="Arial"/>
          <w:sz w:val="18"/>
          <w:szCs w:val="18"/>
          <w:b w:val="1"/>
          <w:bCs w:val="1"/>
          <w:color w:val="auto"/>
        </w:rPr>
        <w:t xml:space="preserve"> </w:t>
      </w:r>
      <w:r>
        <w:rPr>
          <w:rFonts w:ascii="Arial" w:cs="Arial" w:eastAsia="Arial" w:hAnsi="Arial"/>
          <w:sz w:val="18"/>
          <w:szCs w:val="18"/>
          <w:color w:val="auto"/>
        </w:rPr>
        <w:t>to transactions per consumer, will benefit us over the long-term as we build on our leadership as the go-to destination platform for financial guidance. We have maintained an unwavering commitment to providing consumers with free and trusted financial guidance for over a decade, including unbiased recommendations and decision-making tools. Additionally, over 70% of all traffic to NerdWallet in the trailing twelve months as of September 30, 2021 came from direct or unpaid traffic sources, further demonstrating the value of our brand, organic marketing efforts and strategy.</w:t>
      </w:r>
    </w:p>
    <w:p>
      <w:pPr>
        <w:spacing w:after="0" w:line="133" w:lineRule="exact"/>
        <w:rPr>
          <w:rFonts w:ascii="Arial" w:cs="Arial" w:eastAsia="Arial" w:hAnsi="Arial"/>
          <w:sz w:val="18"/>
          <w:szCs w:val="18"/>
          <w:color w:val="auto"/>
        </w:rPr>
      </w:pPr>
    </w:p>
    <w:p>
      <w:pPr>
        <w:jc w:val="both"/>
        <w:ind w:left="328" w:hanging="328"/>
        <w:spacing w:after="0" w:line="258" w:lineRule="auto"/>
        <w:tabs>
          <w:tab w:leader="none" w:pos="323"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Massive Top-of-the-Funnel Reach. </w:t>
      </w:r>
      <w:r>
        <w:rPr>
          <w:rFonts w:ascii="Arial" w:cs="Arial" w:eastAsia="Arial" w:hAnsi="Arial"/>
          <w:sz w:val="18"/>
          <w:szCs w:val="18"/>
          <w:color w:val="auto"/>
        </w:rPr>
        <w:t>The foundation of our platform is a direct, consumer-first approach, combined with deep domain expertise.</w:t>
      </w:r>
      <w:r>
        <w:rPr>
          <w:rFonts w:ascii="Arial" w:cs="Arial" w:eastAsia="Arial" w:hAnsi="Arial"/>
          <w:sz w:val="18"/>
          <w:szCs w:val="18"/>
          <w:b w:val="1"/>
          <w:bCs w:val="1"/>
          <w:color w:val="auto"/>
        </w:rPr>
        <w:t xml:space="preserve"> </w:t>
      </w:r>
      <w:r>
        <w:rPr>
          <w:rFonts w:ascii="Arial" w:cs="Arial" w:eastAsia="Arial" w:hAnsi="Arial"/>
          <w:sz w:val="18"/>
          <w:szCs w:val="18"/>
          <w:color w:val="auto"/>
        </w:rPr>
        <w:t>This drives superior brand awareness and traffic to our platform. During the first nine months of 2021, we hosted an audience comprised of an average of 20 million MUUs, up 23% from the first nine months of 2020. Our platform delivers financial product reviews and decision-making tools across a broad range of topics to consumers, free of charge. This approach powers large-scale traffic acquisition capabilities at the top of the funnel in both unpaid and paid channels.</w:t>
      </w:r>
    </w:p>
    <w:p>
      <w:pPr>
        <w:spacing w:after="0" w:line="129" w:lineRule="exact"/>
        <w:rPr>
          <w:rFonts w:ascii="Arial" w:cs="Arial" w:eastAsia="Arial" w:hAnsi="Arial"/>
          <w:sz w:val="18"/>
          <w:szCs w:val="18"/>
          <w:color w:val="auto"/>
        </w:rPr>
      </w:pPr>
    </w:p>
    <w:p>
      <w:pPr>
        <w:jc w:val="both"/>
        <w:ind w:left="328" w:hanging="328"/>
        <w:spacing w:after="0" w:line="256" w:lineRule="auto"/>
        <w:tabs>
          <w:tab w:leader="none" w:pos="323"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Unique Breadth of Financial Offerings Under One Brand. </w:t>
      </w:r>
      <w:r>
        <w:rPr>
          <w:rFonts w:ascii="Arial" w:cs="Arial" w:eastAsia="Arial" w:hAnsi="Arial"/>
          <w:sz w:val="18"/>
          <w:szCs w:val="18"/>
          <w:color w:val="auto"/>
        </w:rPr>
        <w:t>We are a one-stop destination for consumer and SMB financial guidance, covering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cards, mortgages, insurance, SMB products, personal loans, banking, investing and student loans. This makes it easy for consumers to compare solutions from a wide array of providers across multiple products to meet their diverse needs. As a result, we experience a high level of engagement and repeat activity on our platform. We do not offer our own financial products, but instead surface offers from hundreds of top-quality financial services providers. Therefore, we remain a trusted source of information and insight for consumers and are complementary, not competitive, with our financial services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89</w:t>
      </w:r>
    </w:p>
    <w:p>
      <w:pPr>
        <w:sectPr>
          <w:pgSz w:w="11900" w:h="16838" w:orient="portrait"/>
          <w:cols w:equalWidth="0" w:num="1">
            <w:col w:w="10908"/>
          </w:cols>
          <w:pgMar w:left="652" w:top="1440" w:right="339" w:bottom="1440" w:gutter="0" w:footer="0" w:header="0"/>
        </w:sectPr>
      </w:pPr>
    </w:p>
    <w:bookmarkStart w:id="97" w:name="page98"/>
    <w:bookmarkEnd w:id="97"/>
    <w:p>
      <w:pPr>
        <w:spacing w:after="0" w:line="140" w:lineRule="exact"/>
        <w:rPr>
          <w:sz w:val="20"/>
          <w:szCs w:val="20"/>
          <w:color w:val="auto"/>
        </w:rPr>
      </w:pPr>
    </w:p>
    <w:p>
      <w:pPr>
        <w:jc w:val="both"/>
        <w:ind w:left="328" w:hanging="328"/>
        <w:spacing w:after="0" w:line="258" w:lineRule="auto"/>
        <w:tabs>
          <w:tab w:leader="none" w:pos="323"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Founder-Led Management Team Focused on Continual Innovation and Capital Efficiency. </w:t>
      </w:r>
      <w:r>
        <w:rPr>
          <w:rFonts w:ascii="Arial" w:cs="Arial" w:eastAsia="Arial" w:hAnsi="Arial"/>
          <w:sz w:val="18"/>
          <w:szCs w:val="18"/>
          <w:color w:val="auto"/>
        </w:rPr>
        <w:t>Our co-founder, Chief Executive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our board of directors, Tim Chen, started NerdWallet in 2009 to bring clarity to all of life’s financial decisions. We grew to approximately $44 million of revenue in 2014 with no outside equity capital. Subsequently, we have increased revenue at a compound annual growth rate (CAGR) of 33% per year from 2014 to 2020, while averaging less than 4% of equity dilution per year. Today, we continue to maintain a mindset of capital and financial discipline balanced with growth-oriented investing.</w:t>
      </w:r>
    </w:p>
    <w:p>
      <w:pPr>
        <w:spacing w:after="0" w:line="129"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Platform That Drives and Benefits from Strong Network Effects. </w:t>
      </w:r>
      <w:r>
        <w:rPr>
          <w:rFonts w:ascii="Arial" w:cs="Arial" w:eastAsia="Arial" w:hAnsi="Arial"/>
          <w:sz w:val="18"/>
          <w:szCs w:val="18"/>
          <w:color w:val="auto"/>
        </w:rPr>
        <w:t>As more consumers use our platform and engage with our extensive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and tools, our consumer and transaction database grows and our product recommendations yield higher success rates. This increases user satisfaction, converting more users into Registered Users and improving repeat user rates. As we apply machine learning to match more high-quality consumers with products and services, our platform becomes increasingly valuable to financial services partners, too. This, in turn, attracts new partners and new financial products to the platform. More partners and more products serve to further increase the success rates of consumers using our platform, all of which drives our growth. This creates a unique value proposition for all constituents in our ecosystem, making our platform more valuable.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97155</wp:posOffset>
            </wp:positionV>
            <wp:extent cx="5349240" cy="31375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Our Growth Strategies</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8"/>
          <w:szCs w:val="18"/>
          <w:color w:val="auto"/>
        </w:rPr>
        <w:t>We intend to continue investing in and leveraging our key strengths to expand our business:</w:t>
      </w:r>
    </w:p>
    <w:p>
      <w:pPr>
        <w:spacing w:after="0" w:line="167" w:lineRule="exact"/>
        <w:rPr>
          <w:sz w:val="20"/>
          <w:szCs w:val="20"/>
          <w:color w:val="auto"/>
        </w:rPr>
      </w:pPr>
    </w:p>
    <w:p>
      <w:pPr>
        <w:jc w:val="both"/>
        <w:ind w:left="328" w:hanging="328"/>
        <w:spacing w:after="0" w:line="273" w:lineRule="auto"/>
        <w:tabs>
          <w:tab w:leader="none" w:pos="323"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Grow Our Traffic and Increase Engagement. </w:t>
      </w:r>
      <w:r>
        <w:rPr>
          <w:rFonts w:ascii="Arial" w:cs="Arial" w:eastAsia="Arial" w:hAnsi="Arial"/>
          <w:sz w:val="17"/>
          <w:szCs w:val="17"/>
          <w:color w:val="auto"/>
        </w:rPr>
        <w:t>We are focused on growing the traffic and engagement on our platform, as well as increasing our</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Registered Users, who have a lifetime revenue value five times greater than our non-registered users and more than twice the transactions and sessions, on average. In the first nine months of 2021, we had an average of 20 million MUUs, an increase of 23% compared to the first nine months of 2020. Since 2016, we have started converting unique users into Registered Users that utilize our consumer decisioning tools and increased machine learning functionality. We had over 5.5 million Registered Users as of December 31, 2019, 8 million Registered Users as of December 31, 2020 and over 9.5 million Registered Users as of September 30, 2021. We will continue to invest in building efficient and scalable technical capabilities to deliver personalized guidance and nudge consumers,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90</w:t>
      </w:r>
    </w:p>
    <w:p>
      <w:pPr>
        <w:sectPr>
          <w:pgSz w:w="11900" w:h="16838" w:orient="portrait"/>
          <w:cols w:equalWidth="0" w:num="1">
            <w:col w:w="10908"/>
          </w:cols>
          <w:pgMar w:left="652" w:top="1440" w:right="339" w:bottom="1440" w:gutter="0" w:footer="0" w:header="0"/>
        </w:sectPr>
      </w:pPr>
    </w:p>
    <w:bookmarkStart w:id="98" w:name="page99"/>
    <w:bookmarkEnd w:id="98"/>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right time, to take action based on our advice. With better machine learning, we believe our recommendations and contextual nudges will encourage repeat engagement and user registration on our platform.</w:t>
      </w:r>
    </w:p>
    <w:p>
      <w:pPr>
        <w:spacing w:after="0" w:line="112" w:lineRule="exact"/>
        <w:rPr>
          <w:sz w:val="20"/>
          <w:szCs w:val="20"/>
          <w:color w:val="auto"/>
        </w:rPr>
      </w:pPr>
    </w:p>
    <w:p>
      <w:pPr>
        <w:jc w:val="both"/>
        <w:ind w:left="660" w:hanging="328"/>
        <w:spacing w:after="0" w:line="269"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Grow Within Existing and New Verticals</w:t>
      </w:r>
      <w:r>
        <w:rPr>
          <w:rFonts w:ascii="Arial" w:cs="Arial" w:eastAsia="Arial" w:hAnsi="Arial"/>
          <w:sz w:val="17"/>
          <w:szCs w:val="17"/>
          <w:color w:val="auto"/>
        </w:rPr>
        <w:t>. Our brand is a natural extension as we land and expand by adding capabilities within our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verticals and by entering new verticals to provide a broad range of tools for consumers. By improving the quality of our guidance within existing verticals, we believe we can enhance the experience for our users and continue to build recurring revenue streams. For example, in the fourth quarter of 2020, we acquired Fundera, which allows us to both improve our offering for SMBs by providing a human touch during one of their biggest financial decisions and build a deeper relationship to anticipate future needs. Upon integration, we combined NerdWallet's top-of-funnel strength to increase organic SMB traffic by over 30% with Fundera’s monetization strategy, which almost doubled up-front revenue per NerdWallet SMB visit and adds a recurring revenue tail, as 50% of Fundera’s loan revenue in the year prior to acquisition came from existing customers. We can apply this playbook to other existing verticals that have relationship-driven or renewal revenue models. Our approach for new vertical expansion is well-defined—provide trusted content and tools to attract organic traffic, then leverage our brand and marketing expertise to accelerate growth. Our ability to implement this playbook is exemplified by our growth in the mortgages vertical: we have had strong conversion with new and existing consumers in this vertical, growing revenue at a four year CAGR of 143% from 2016 to 2020. Expansion to new verticals allows us to address more of our consumers’ needs and increases our potential for cross-selling, thereby making existing verticals and marketing channels more efficient.</w:t>
      </w:r>
    </w:p>
    <w:p>
      <w:pPr>
        <w:spacing w:after="0" w:line="121" w:lineRule="exact"/>
        <w:rPr>
          <w:rFonts w:ascii="Arial" w:cs="Arial" w:eastAsia="Arial" w:hAnsi="Arial"/>
          <w:sz w:val="17"/>
          <w:szCs w:val="17"/>
          <w:color w:val="auto"/>
        </w:rPr>
      </w:pPr>
    </w:p>
    <w:p>
      <w:pPr>
        <w:jc w:val="both"/>
        <w:ind w:left="660" w:hanging="328"/>
        <w:spacing w:after="0" w:line="298"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Expand Geographically. </w:t>
      </w:r>
      <w:r>
        <w:rPr>
          <w:rFonts w:ascii="Arial" w:cs="Arial" w:eastAsia="Arial" w:hAnsi="Arial"/>
          <w:sz w:val="16"/>
          <w:szCs w:val="16"/>
          <w:color w:val="auto"/>
        </w:rPr>
        <w:t>We believe there is significant potential for us to grow the global reach of our platform. Our success in the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our strong brand give us a solid foundation to expand into other geographies. Following our 2020 acquisition of Know Your Money (KYM), an online provider of financial guidance and tools in the United Kingdom, KYM was rebranded as NerdWallet UK. By deploying our playbook, organic traffic to the NerdWallet UK site has increased from approximately 10,000 monthly sessions pre-acquisition to approximately 130,000 monthly sessions in the third quarter of 2021. This early proof point has encouraged us to invest in further global expansion.</w:t>
      </w:r>
    </w:p>
    <w:p>
      <w:pPr>
        <w:spacing w:after="0" w:line="99" w:lineRule="exact"/>
        <w:rPr>
          <w:rFonts w:ascii="Arial" w:cs="Arial" w:eastAsia="Arial" w:hAnsi="Arial"/>
          <w:sz w:val="16"/>
          <w:szCs w:val="16"/>
          <w:color w:val="auto"/>
        </w:rPr>
      </w:pPr>
    </w:p>
    <w:p>
      <w:pPr>
        <w:jc w:val="both"/>
        <w:ind w:left="660" w:hanging="328"/>
        <w:spacing w:after="0" w:line="303"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Broaden and Deepen our Partnerships with Financial Services Providers. </w:t>
      </w:r>
      <w:r>
        <w:rPr>
          <w:rFonts w:ascii="Arial" w:cs="Arial" w:eastAsia="Arial" w:hAnsi="Arial"/>
          <w:sz w:val="16"/>
          <w:szCs w:val="16"/>
          <w:color w:val="auto"/>
        </w:rPr>
        <w:t>We partner with banks, insurance agencies, financial advisors, loan</w:t>
      </w:r>
      <w:r>
        <w:rPr>
          <w:rFonts w:ascii="Arial" w:cs="Arial" w:eastAsia="Arial" w:hAnsi="Arial"/>
          <w:sz w:val="16"/>
          <w:szCs w:val="16"/>
          <w:b w:val="1"/>
          <w:bCs w:val="1"/>
          <w:color w:val="auto"/>
        </w:rPr>
        <w:t xml:space="preserve"> </w:t>
      </w:r>
      <w:r>
        <w:rPr>
          <w:rFonts w:ascii="Arial" w:cs="Arial" w:eastAsia="Arial" w:hAnsi="Arial"/>
          <w:sz w:val="16"/>
          <w:szCs w:val="16"/>
          <w:color w:val="auto"/>
        </w:rPr>
        <w:t>brokers and other financial services providers. As we deepen our relationships with our financial services partners, our pricing often increases as they see greater value in being matched with the well-informed consumers who use our platform. We will continue to identify new financial services partners, as well as vertical expansion opportunities with existing financial services partners to optimize our platform for consumers.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 substantial market opportunity in the growing global market for financial services. Our comprehensive platform serves a broad set of financial verticals, including credit cards, mortgages, insurance, SMB products, personal loans, banking, investing and student loans.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and primary addressable market opportunity is U.S. financial services digital advertising spend, which is expected to be more than $23 billion in 2021 and has been growing at double digit rates annually, according to eMarketer. Additionally, IDC estimates global financial services advertising spend to be approximately $73 billion in 2021, and we believe that we will be able to increasingly address this global spend as we grow internationally. As digital advertising spend continues to increase as a percentage of overall advertising spend, we expect our addressable market opportunity to grow along with it.</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the services provided by financial advisors, insurance agencies, loan brokers and others will increasingly transition online in the coming years, which will expand our addressable market. As a result of this offline-to-online shift, offline sales commission dollars will be reallocated to better align with the growth and importance of digital channels. To illustrate the growth potential of our addressable market, for example, the life insurance industry in 2019 spent $9 billion on advertising, of which $2 billion was digital advertising—yet,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91</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$13-$15 billion in commissions were still paid to agencies. As financial services providers modernize their approach to sales commissions and related compensation, we expect that our addressable market opportunity will continue to grow.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Product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100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NerdWallet platform is designed to empower consumers at every stage of their financial journey through our personalized offerings. Whether consumers have a specific money question, are shopping for the “best” financial product or want to proactively stay on top of their finances, we provide financial guidance to meet their varied needs. We offer guidance across eight verticals: credit cards, mortgages, insurance, SMB products, personal loans, banking, investing and student loans.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our unbiased and comprehensive approach to financial guidance and personalized insights provides a competitive advantage for NerdWallet. This advantage will compound as we further expand our product offerings and as we continue to apply the power of machine learning to further refine our personalized insights. To ensure we are able to meet distinct consumer needs and preferences, our financial guidance is delivered in a variety of ways, organized in the following core categories: Learn, Shop and Manage.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Learn</w:t>
      </w:r>
    </w:p>
    <w:p>
      <w:pPr>
        <w:spacing w:after="0" w:line="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mission is to provide clarity for all of life’s financial decisions, and we provide resources that make even the most complicated financial questions and topics simple to understand. The resources consumers can access on our platform include articles, calculators, videos and podcasts. We do this with our award-winning editorial team of Nerds who create and curate NerdWallet’s house views on a wide variety of personal finance topics. Our writers and editors, who have joined us from notable publications including Bloomberg and The Wall Street Journal, cover specific verticals day in and day out, and, as a result, are deeply knowledgeable about the financial areas they cover, producing high-quality and award-winning guidance. This trusted guidance has enabled us to build a large, well-informed audience, many of whom are ready to transact. Accordingly, we have become an attractive partner for financial services providers wanting to reach these high value consumers. Today, our platform stretches across many verticals, including credit cards, mortgages, insurance, SMB products, personal loans, banking, investing and student loans. These capabilities help consumers make educated decisions about financial products, while allowing us to provide our financial services partners with informed consumers ready to transact.</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Shop</w:t>
      </w:r>
    </w:p>
    <w:p>
      <w:pPr>
        <w:spacing w:after="0" w:line="2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NerdWallet’s platform and intuitive user interface help consumers find the products that best match their searches, instilling confidence in their financial decisions. Consumers can easily explore available products, filter results according to their specific needs, sort by NerdWallet rating and narrow down their options with the help of various tools, including side-by-side comparisons, “Best-of” lists and financial product reviews. In our credit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and loans verticals, we also offer the ability to personalize our recommendations by matching consumers to the appropriate lender for their unique needs.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w:t>
      </w:r>
    </w:p>
    <w:p>
      <w:pPr>
        <w:spacing w:after="0" w:line="2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NerdWallet makes it easy for our Registered Users to stay on top of their money by centralizing many of their financial decisions in one place. Consumers can get a holistic view of their finances, and hone in on specific details about their spending and saving patterns across accounts. By codifying insights from our award-winning editorial team, we are able to recommend smart money moves via contextual “nudges” for example, letting consumers know that the improvement in their credit score means that they could qualify for lower auto insurance rates. As a result, NerdWallet has become a one-stop-shop for consumers to track, manage and plan their financial futures.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Technology</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built our scalable technology platform to serve both the growing number of consumers searching for financial products digitally and the increasing number of financial service providers looking to reach consumers with the right characteristics for any given product. Additionally, beyond enabling all elements of our consumer “Learn, Shop, Manage” product experience, our technology is key to keeping our platform secure and compliant. The key capabilities and features of our platform include Content Management, Partner Access, Recommendation Engine and Personal Financial Management.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Content Management</w:t>
      </w:r>
    </w:p>
    <w:p>
      <w:pPr>
        <w:spacing w:after="0" w:line="2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content management platform leverages structured data components to showcase our financial guidance to consumers at scale. By codifying our editorial team’s house views, we are able to dynamically recommend relevant content using machine learning for consumers seeking guidance and thus increase product matches. Our personalized article recommendations lead to higher click-through rates, ultimately increasing transactions on our platform.</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Partner Access</w:t>
      </w:r>
    </w:p>
    <w:p>
      <w:pPr>
        <w:spacing w:after="0" w:line="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platform manages over 400 financial services partners across eight verticals. We have a team focused on ingesting and aggregating data from our financial services partners across our verticals and financial products to surface and apply product details and attributes for matching with consumers. Our partner data ingestion, quality and compliance processes ensures accuracy and scalability across our platform. We are able to onboard new partners quickly with significantly lower partner marketing compliance risk—for example, inaccurate displays of rewards, fees, or interest rates. Our partner platform also includes the ability to integrate prequalification experiences and targeting engines.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Recommendation Engine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proprietary recommendation engine uses machine learning to match consumers to financial products and partners that meet their unique needs.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Examples include, but are not limited to:</w:t>
      </w:r>
    </w:p>
    <w:p>
      <w:pPr>
        <w:spacing w:after="0" w:line="157" w:lineRule="exact"/>
        <w:rPr>
          <w:sz w:val="20"/>
          <w:szCs w:val="20"/>
          <w:color w:val="auto"/>
        </w:rPr>
      </w:pPr>
    </w:p>
    <w:p>
      <w:pPr>
        <w:ind w:left="660" w:hanging="328"/>
        <w:spacing w:after="0" w:line="308"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 credit card products, our approval odds model determines a consumer's likelihood of getting approved, which ultimately saves them time, enables users to avoid unnecessary hard credit checks, and drives stronger conversion rates for our financial services partners.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some loans products, we operate a prequalification system that assists consumers through the underwriting process.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technology is flexible enough to engage with financial services partners in ways that align with each industry’s unique requirements and business practices.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Personal Financial Management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logged-in experience for Registered Users serves as a one-stop shop for consumers to track, manage and maximize their finances, all in one place. We analyze first-party data, third-party data from financial account aggregators and credit reports to understand our users’ unique financial situations. Our recommendation engine surfaces insights and actions that users can take to make smart money moves, such as improving their credit scores,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maximizing their credit card rewards or earning a higher savings interest rate. Additionally, our credit score predictive modeling can estimate the impact of financial decisions on consumers’ credit scores, thus enhancing the insights and recommendations that we can provide to them.</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Security and Privacy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consumer-first company that is building a trusted brand, we are both committed and mandated to adhere to the strictest privacy standards. We believe our commitment to data protection and privacy, as well as our superior insights and guidance, are the primary reasons why consumers provide us with personal data on our platform.</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practice a security-first approach to product development, with our security team involved in building our products, features, platforms and infrastructure from the beginning. This approach allows us to build with security as a core requirement rather than treating it as an afterthought. Our security team has a wide range of expertise, from corporate security to network security to application security, giving us the ability to design security into everything that we do, from product development to vendor selection to the tools that we use in our day-to-day work as Nerds.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marketing function is a critical way we reach and build trust with consumers and is an important growth lever for our business. Our marketing strategy is diversified across brand marketing, organic and performance marketing, customer relationship management and communications. Importantly, these strategies build on and reinforce one another, optimizing for building consumer trust and managing spend efficiently. Brand marketing campaigns, such as “Turn to the Nerds,” which encourage consumers to turn to NerdWallet with all of their money questions, increase awareness and drive top-of-funnel interest, while amplifying the effectiveness of our organic and performance marketing channels. All of our marketing programs and channels are measured by a data-driven media mix model to determine results and effectively allocate marketing investments to drive maximum business impact.</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substantial organic and performance marketing presence that drives high-intent traffic. Our organic marketing program leverages our substantial, proprietary body of trusted guidance coupled with expertise in SEO and public relations, to reinforce NerdWallet as a trusted authority in personal finance. Our performance marketing is also highly optimized for profitable revenue growth.</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NerdWallet’s editorial team is made up of writers and editors who have worked at publications including Bloomberg and The Wall Street Journal and are deeply knowledgeable about personal finance. Our editorial team provides well-researched guidance across all areas of personal finance and for various stages of consumers’ financial journeys, from basic information about saving for retirement to timely guidance about applying for unemployment to in-depth product reviews. Our high quality content is distributed by approximately 30 news sites such as The Associated Press, and our writers are frequently featured providing guidance in print, online and broadcast media such as The New York Times and Good Morning America, among others.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communications team oversees the execution of consumer, product and corporate communications to both reinforce NerdWallet as a trusted brand and support our organic growth strategies by generating considerable media and syndication coverage, particularly for NerdWallet’s consumer finance spokespeople.</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believe our marketing strategy will position NerdWallet as the trusted brand of choice in personal finance, improve traffic acquisition at all levels of the funnel, drive engagement with users, and enable us to scale quickly across new consumer finance verticals and geographies.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Culture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NerdWallet’s culture is defined by its vision, a world where everyone makes financial decisions with confidence. We attract people who are passionate about bringing our mission to life and inspired by the possibility of making real change—to brighten futures, ask hard questions, usher in solutions and provide our consumers with clarity and confidence.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Our mission-driven Nerds are the key to our success and the reason we believe we will achieve our mission; they are also one of our most crucial areas of investment. We’re consistently recognized as a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“Best Place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94</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Work” due to our competitive employee benefits, commitment to employee growth and empowerment and a flexible workplace environment. We also infuse Nerdy fun along the way with employee activities like an annual Charity Auction, employee appreciation events like Nerd Love Week, and more. And we’ve embraced a remote-first workplace culture: offering remote-first support like flexible working hours and stipends, reimagining favorite NerdWallet traditions and rethinking employee engagement for a more virtual world. Importantly, our remote-first culture also allows us to reach, attract and retain more diverse talent across all levels of our organization. Attracting and retaining highly skilled, diverse talent is a key component of our burgeoning diversity, equity and inclusion efforts, and is absolutely critical to our success as a business and to fully realizing NerdWallet’s mission. Our Nerdy, mission-driven culture also extends beyond our four walls with investments in our community. We have several employee resource groups to engage our Nerds, including a robust volunteer group, Nerds Pay it Forward, who are active in supporting a variety of organizations and causes. We also recently launched a Corporate Social Responsibility Program focused on advancing equal economic opportunity and are working with community development credit unions to help provide underrepresented communities with access to equitable financial products and services.</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core of our Nerdy culture are our values. They’re not just words written on a wall or printed on t-shirts, but lived and breathed every day by every Nerd: Consumer, Company, Team, Self; Relentless Self-Improvement; Ownership; Informed Risk Taking; and Open, Candid and Constructive. By living our values and embracing our Nerdiness, our Nerds have propelled us to greater success every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focused on attracting, developing and retaining top talent to help drive the growth of our business. We have a strong commitment to building a diverse workforce that reflects our values and the needs of our user base.</w:t>
      </w:r>
    </w:p>
    <w:p>
      <w:pPr>
        <w:spacing w:after="0" w:line="11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During the COVID-19 pandemic we transitioned all of our employees to a remote work environment in order to mitigate the spread of COVID-19 and comply with local shelter in place policies. Subsequently we adopted a new policy that allows for almost all roles to be open to remote employees on an ongoing basis, even if local shelter in place restrictions are lifted. We expect our workforce will continue to operate effectively in this remote work environment, as it has done during the pandemic.</w:t>
      </w:r>
    </w:p>
    <w:p>
      <w:pPr>
        <w:spacing w:after="0" w:line="133"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color w:val="auto"/>
        </w:rPr>
        <w:t>As of September 30, 2021, we had over 675 full</w:t>
      </w:r>
      <w:r>
        <w:rPr>
          <w:rFonts w:ascii="MS PGothic" w:cs="MS PGothic" w:eastAsia="MS PGothic" w:hAnsi="MS PGothic"/>
          <w:sz w:val="17"/>
          <w:szCs w:val="17"/>
          <w:color w:val="auto"/>
        </w:rPr>
        <w:t>‑</w:t>
      </w:r>
      <w:r>
        <w:rPr>
          <w:rFonts w:ascii="Arial" w:cs="Arial" w:eastAsia="Arial" w:hAnsi="Arial"/>
          <w:sz w:val="17"/>
          <w:szCs w:val="17"/>
          <w:color w:val="auto"/>
        </w:rPr>
        <w:t>time employees. None of our employees are represented by a labor union or covered by collective bargaining agreements. We have not experienced any work stoppages. We consider our relationship with our employees to be good.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built a scaled and highly differentiated online platform. We face competition from both online and offline financial guidance providers in four primary categories: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Consumer Personal Finance Guidance</w:t>
      </w:r>
    </w:p>
    <w:p>
      <w:pPr>
        <w:spacing w:after="0" w:line="167"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Financial advisors, agents, and brokers </w:t>
      </w:r>
      <w:r>
        <w:rPr>
          <w:rFonts w:ascii="Arial" w:cs="Arial" w:eastAsia="Arial" w:hAnsi="Arial"/>
          <w:sz w:val="18"/>
          <w:szCs w:val="18"/>
          <w:color w:val="auto"/>
        </w:rPr>
        <w:t>who provide guidance and expertise as part of their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Traditional media </w:t>
      </w:r>
      <w:r>
        <w:rPr>
          <w:rFonts w:ascii="Arial" w:cs="Arial" w:eastAsia="Arial" w:hAnsi="Arial"/>
          <w:sz w:val="18"/>
          <w:szCs w:val="18"/>
          <w:color w:val="auto"/>
        </w:rPr>
        <w:t>such as the New York Times, U.S. News &amp; World Report and other print and broadcast media;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Friends and family</w:t>
      </w:r>
      <w:r>
        <w:rPr>
          <w:rFonts w:ascii="Arial" w:cs="Arial" w:eastAsia="Arial" w:hAnsi="Arial"/>
          <w:sz w:val="18"/>
          <w:szCs w:val="18"/>
          <w:color w:val="auto"/>
        </w:rPr>
        <w:t>, as many consumers consult friends and family for financial guidance;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Influencers on social media platforms.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compete with the following for advertising budgets designated for financial products:</w:t>
      </w:r>
    </w:p>
    <w:p>
      <w:pPr>
        <w:spacing w:after="0" w:line="167" w:lineRule="exact"/>
        <w:rPr>
          <w:sz w:val="20"/>
          <w:szCs w:val="20"/>
          <w:color w:val="auto"/>
        </w:rPr>
      </w:pPr>
    </w:p>
    <w:p>
      <w:pPr>
        <w:ind w:left="660" w:right="20" w:hanging="328"/>
        <w:spacing w:after="0" w:line="282"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Financial services providers' own marketing</w:t>
      </w:r>
      <w:r>
        <w:rPr>
          <w:rFonts w:ascii="Arial" w:cs="Arial" w:eastAsia="Arial" w:hAnsi="Arial"/>
          <w:sz w:val="18"/>
          <w:szCs w:val="18"/>
          <w:color w:val="auto"/>
        </w:rPr>
        <w:t>: Financial services providers connect directly through many different channels, digitally (in-app,</w:t>
      </w:r>
      <w:r>
        <w:rPr>
          <w:rFonts w:ascii="Arial" w:cs="Arial" w:eastAsia="Arial" w:hAnsi="Arial"/>
          <w:sz w:val="18"/>
          <w:szCs w:val="18"/>
          <w:b w:val="1"/>
          <w:bCs w:val="1"/>
          <w:color w:val="auto"/>
        </w:rPr>
        <w:t xml:space="preserve"> </w:t>
      </w:r>
      <w:r>
        <w:rPr>
          <w:rFonts w:ascii="Arial" w:cs="Arial" w:eastAsia="Arial" w:hAnsi="Arial"/>
          <w:sz w:val="18"/>
          <w:szCs w:val="18"/>
          <w:color w:val="auto"/>
        </w:rPr>
        <w:t>email etc.) and offline channels (direct mail, printed media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95</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0" w:lineRule="exact"/>
        <w:rPr>
          <w:sz w:val="20"/>
          <w:szCs w:val="20"/>
          <w:color w:val="auto"/>
        </w:rPr>
      </w:pPr>
    </w:p>
    <w:p>
      <w:pPr>
        <w:ind w:left="660" w:hanging="328"/>
        <w:spacing w:after="0" w:line="282"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Online search engines</w:t>
      </w:r>
      <w:r>
        <w:rPr>
          <w:rFonts w:ascii="Arial" w:cs="Arial" w:eastAsia="Arial" w:hAnsi="Arial"/>
          <w:sz w:val="18"/>
          <w:szCs w:val="18"/>
          <w:color w:val="auto"/>
        </w:rPr>
        <w:t>: Financial services providers spend advertising budgets with online search engines, primarily Google AdWords, as many</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turn to Google to answer their personal finance questions; and</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Online marketplaces</w:t>
      </w:r>
      <w:r>
        <w:rPr>
          <w:rFonts w:ascii="Arial" w:cs="Arial" w:eastAsia="Arial" w:hAnsi="Arial"/>
          <w:sz w:val="18"/>
          <w:szCs w:val="18"/>
          <w:color w:val="auto"/>
        </w:rPr>
        <w:t>: including Bankrate, Credit Karma, LendingTree and Zillow.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we compete favorably due to the breadth and depth of our financial guidance, the trust we’ve built with our consumers, and our brand, organic traffic, convenience and simplicity.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our intellectual property rights are valuable and important to our business. We rely on trademarks, copyrights, trade secrets, license agreements, intellectual property assignment agreements, confidentiality procedures, non-disclosure agreements, and employee and contractor non-disclosure and invention assignment agreements to establish and protect our proprietary rights. Though we rely in part upon these legal and contractual protections, we believe that factors such as our skills and the ingenuity of our employees, the quality of our guidance to consumers and the functionality and frequent enhancements to our platform are larger contributors to our success in the marketplace.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For additional information, see the section titled “Risk Factors—Risks Related to Our Technology and Intellectual Property—Failure to protect or enforce our intellectual property rights could harm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market and provide our products and services in heavily regulated industries through a number of different channels across the United States and the UK. As a result, aspects of our business are potentially subject to a variety of U.S. and UK laws and regulations, including:</w:t>
      </w:r>
    </w:p>
    <w:p>
      <w:pPr>
        <w:spacing w:after="0" w:line="92" w:lineRule="exact"/>
        <w:rPr>
          <w:sz w:val="20"/>
          <w:szCs w:val="20"/>
          <w:color w:val="auto"/>
        </w:rPr>
      </w:pPr>
    </w:p>
    <w:p>
      <w:pPr>
        <w:jc w:val="both"/>
        <w:ind w:left="660" w:hanging="328"/>
        <w:spacing w:after="0" w:line="279" w:lineRule="auto"/>
        <w:tabs>
          <w:tab w:leader="none" w:pos="6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Truth-in-Lending Act, the Equal Credit Opportunity Act, the Fair Credit Reporting Act (FCRA), Fair and Accurate Credit Transactions Act of 2003, the Fair Housing Act, the Real Estate Settlement Procedures Act, and similar state laws, all of which place certain restrictions on the manner in which mortgages and other consumer loans are marketed and originated, and some of which impose restrictions on the amount and nature of fees that may be charged to lenders and real estate professionals for providing or obtaining consumer loan requests;</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Dodd-Frank Wall Street Reform and Consumer Protection Act, which imposes, among other things, a broad prohibition on Unfair, Deceptive and Abusive Acts and Practices (UDAAPs) in connection with consumer financial products and services, limitations on fees charged by mortgage lenders, and requirements related to mortgage disclosures and is enforced by the Consumer Financial Protection Bureau and state regulatory authorities;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Federal Trade Commission Act (FTC Act), which, among other things, imposes a broad prohibition on Unfair and Deceptive Acts and Practices in or affecting commerce, and is enforced by the Federal Trade Commission.</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State laws that impose prohibitions on Unfair, Deceptive and Abusive Acts and Practices similar to the Dodd-Frank Act and FTC Act’s prohibitions.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Federal and State licensing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96</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jc w:val="both"/>
        <w:ind w:left="660" w:hanging="328"/>
        <w:spacing w:after="0" w:line="263"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Federal and state laws, which impose restrictions on activities conducted through telephone, mail, email, mobile device or the Internet, including the Telemarketing Sales Rule, the Telephone Consumer Protection Act, and the Controlling the Assault of Non-Solicited Pornography and Marketing Act of 2003;</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Federal and state laws relating to offering of credit repair services to consumers, including such laws that impose restrictions on the usage and storage of consumer credit information such as the Credit Repair Organizations Act and the FCRA;</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Federal and state laws and regulations relating to data privacy and security, such as the Gramm-Leach-Bliley Act and the California Consumer Privacy Act (CCPA), which impact how we collect, use, store, share and otherwise process personal information of consumers and other individuals;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Recent state laws regulating data privacy and security such as the CCPA;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Foreign laws and regulations relating to data privacy and security, such as the UK General Data Protection Regulation, the UK Data Protection Act 2018 and the General Data Protection Regulation 2016/679, each of which regulates our collection, processing, disclosure and other use of data relating to identifiable living individuals (personal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corporate headquarters are located in San Francisco, California. We maintain additional offices in New York City and Norwich, UK. We lease all of our facilities and do not own any real property. We believe our facilities are adequate and suitable for our current needs and that, should it be needed, suitable additional or alternative space will be available to accommodate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97</w:t>
      </w:r>
    </w:p>
    <w:p>
      <w:pPr>
        <w:sectPr>
          <w:pgSz w:w="11900" w:h="16838" w:orient="portrait"/>
          <w:cols w:equalWidth="0" w:num="1">
            <w:col w:w="11240"/>
          </w:cols>
          <w:pgMar w:left="320" w:top="1440" w:right="339" w:bottom="1440"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346075</wp:posOffset>
            </wp:positionV>
            <wp:extent cx="7029450" cy="908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02945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346075</wp:posOffset>
            </wp:positionV>
            <wp:extent cx="7115175" cy="9086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115175"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346075</wp:posOffset>
            </wp:positionV>
            <wp:extent cx="7115175" cy="908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115175"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14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MANAGEMENT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for our executive officers and directors as of October 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5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43"/>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shd w:val="clear" w:color="auto" w:fill="CCEEFF"/>
          </w:tcPr>
          <w:p>
            <w:pPr>
              <w:spacing w:after="0"/>
              <w:rPr>
                <w:sz w:val="21"/>
                <w:szCs w:val="21"/>
                <w:color w:val="auto"/>
              </w:rPr>
            </w:pPr>
          </w:p>
        </w:tc>
      </w:tr>
      <w:tr>
        <w:trPr>
          <w:trHeight w:val="229"/>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Tim Chen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Executive Officer, Director and Chairman of the Board of</w:t>
            </w:r>
          </w:p>
        </w:tc>
      </w:tr>
      <w:tr>
        <w:trPr>
          <w:trHeight w:val="230"/>
        </w:trPr>
        <w:tc>
          <w:tcPr>
            <w:tcW w:w="5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Directors</w:t>
            </w: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Lauren StClair</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Kevin Yuann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Business Officer</w:t>
            </w: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Kelly Gillease</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Marketing Officer</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Jennifer E. Ceran</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Lynne M. Laube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Loverro</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James D. Robinson III</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0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Tim Chen</w:t>
      </w:r>
      <w:r>
        <w:rPr>
          <w:rFonts w:ascii="Arial" w:cs="Arial" w:eastAsia="Arial" w:hAnsi="Arial"/>
          <w:sz w:val="18"/>
          <w:szCs w:val="18"/>
          <w:color w:val="auto"/>
        </w:rPr>
        <w:t>. Mr. Chen has served as our Chief Executive Officer since February 2009, as a member of our board of directors since December 2011 and</w:t>
      </w:r>
      <w:r>
        <w:rPr>
          <w:rFonts w:ascii="Arial" w:cs="Arial" w:eastAsia="Arial" w:hAnsi="Arial"/>
          <w:sz w:val="18"/>
          <w:szCs w:val="18"/>
          <w:i w:val="1"/>
          <w:iCs w:val="1"/>
          <w:color w:val="auto"/>
        </w:rPr>
        <w:t xml:space="preserve"> </w:t>
      </w:r>
      <w:r>
        <w:rPr>
          <w:rFonts w:ascii="Arial" w:cs="Arial" w:eastAsia="Arial" w:hAnsi="Arial"/>
          <w:sz w:val="18"/>
          <w:szCs w:val="18"/>
          <w:color w:val="auto"/>
        </w:rPr>
        <w:t>as a Chairman of our board of directors since September 2021. Prior to founding the Company that would become NerdWallet in 2009, Mr. Chen worked at JAT Capital Management, L.P. and Perry Capital as an Investor and at Credit Suisse as an Equity Research Associate. Mr. Chen holds a B.A. in Economics from Stanford University. We believe Mr. Chen is qualified to serve on our board of directors due to his perspective and experience from serving as our Chief Executive Officer, as well as his experience in the finance industry.</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Lauren StClair</w:t>
      </w:r>
      <w:r>
        <w:rPr>
          <w:rFonts w:ascii="Arial" w:cs="Arial" w:eastAsia="Arial" w:hAnsi="Arial"/>
          <w:sz w:val="18"/>
          <w:szCs w:val="18"/>
          <w:color w:val="auto"/>
        </w:rPr>
        <w:t>. Ms. StClair has served as our Chief Financial Officer since December 2020. Prior to joining NerdWallet, Ms. StClair served as CFO,</w:t>
      </w:r>
      <w:r>
        <w:rPr>
          <w:rFonts w:ascii="Arial" w:cs="Arial" w:eastAsia="Arial" w:hAnsi="Arial"/>
          <w:sz w:val="18"/>
          <w:szCs w:val="18"/>
          <w:i w:val="1"/>
          <w:iCs w:val="1"/>
          <w:color w:val="auto"/>
        </w:rPr>
        <w:t xml:space="preserve"> </w:t>
      </w:r>
      <w:r>
        <w:rPr>
          <w:rFonts w:ascii="Arial" w:cs="Arial" w:eastAsia="Arial" w:hAnsi="Arial"/>
          <w:sz w:val="18"/>
          <w:szCs w:val="18"/>
          <w:color w:val="auto"/>
        </w:rPr>
        <w:t>North America at eBay Inc., a position she held since June 2019. Prior to June 2019, Ms. StClair served as CFO, International at StubHub, a position she held since February 2017. Prior to February 2017, Ms. StClair served as Director, Investor Relations at eBay Inc. Ms. StClair holds a B.S. from Stanford University and M.B.A. from Duke University.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Kevin Yuann</w:t>
      </w:r>
      <w:r>
        <w:rPr>
          <w:rFonts w:ascii="Arial" w:cs="Arial" w:eastAsia="Arial" w:hAnsi="Arial"/>
          <w:sz w:val="18"/>
          <w:szCs w:val="18"/>
          <w:color w:val="auto"/>
        </w:rPr>
        <w:t>. Mr. Yuann has served as our Chief Business Officer since March 2021. Prior to that, Mr. Yuann served as Vice President from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2016 to March 2021, as Senior Director from March 2016 to August 2016, and Director from July 2014 to March 2016. Mr. Yuann holds an A.B. from Brown University and M.B.A. from the University of California, Los Angeles.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Kelly Gillease</w:t>
      </w:r>
      <w:r>
        <w:rPr>
          <w:rFonts w:ascii="Arial" w:cs="Arial" w:eastAsia="Arial" w:hAnsi="Arial"/>
          <w:sz w:val="18"/>
          <w:szCs w:val="18"/>
          <w:color w:val="auto"/>
        </w:rPr>
        <w:t>. Ms. Gillease has served as our Chief Marketing Officer since September of 2019. Prior to September 2019, Ms. Gillease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Marketing beginning in August of 2018. Prior to joining NerdWallet, Ms. Gillease served as Chief Marketing Officer at StudyBlue, a position she held since February 2017. Prior to February 2017, Ms. Gillease served as Vice President, Marketing at TripAdvisor/Viator. Ms. Gillease holds a B.A. from the University of California, Berkeley.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Jennifer E. Ceran</w:t>
      </w:r>
      <w:r>
        <w:rPr>
          <w:rFonts w:ascii="Arial" w:cs="Arial" w:eastAsia="Arial" w:hAnsi="Arial"/>
          <w:sz w:val="16"/>
          <w:szCs w:val="16"/>
          <w:color w:val="auto"/>
        </w:rPr>
        <w:t>. Ms. Ceran has been a member of our board of directors since 2020. Until January 2021, she served as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Smartsheet Inc., a role she held since September 2016. Prior to joining Smartsheet, Ms. Ceran served as the Chief Financial Officer of Quotient Technology, Inc., an online marketing platform, from September 2015 to September 2016. From 2012 to September 2015, Ms. Ceran served as Vice President of Finance at Box, Inc., a cloud content management platform. From 2003 to 2012, Ms. Ceran served in various leadership roles at eBay Inc., a global commerce and payments platform, including as Vice President of Investor Relations, Vice President of Financial Planning and Analysis, and Vice President and Treasurer. Ms. Ceran is also a member of the board of directors of Plum Acquisition Corp. I, where she serves as chair of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101</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committee. Ms. Ceran holds a B.A. in Communications and French from Vanderbilt University and a M.B.A. in Finance and Accounting from the University of Chicago, Booth School of Business. Ms. Ceran brings to our Board valuable financial and business expertise through her years of experience as a chief financial officer with publicly traded companies. Ms. Ceran provides an important role in leading the Board’s activities on financial and auditing matters, as well as collaborating with our independent registered public accounting firm and management team in these areas.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Lynne M. Laube</w:t>
      </w:r>
      <w:r>
        <w:rPr>
          <w:rFonts w:ascii="Arial" w:cs="Arial" w:eastAsia="Arial" w:hAnsi="Arial"/>
          <w:sz w:val="18"/>
          <w:szCs w:val="18"/>
          <w:color w:val="auto"/>
        </w:rPr>
        <w:t>. Ms. Laube has been a member of our board of directors since 2020. She has served as the Chief Executive Officer of Cardlytics, Inc.</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May of 2020 and as a director of Cardlytics, Inc., since 2008. Prior to that Ms. Laube served as the Chief Operating Officer of Cardlytics, Inc., a role she held since 2008. From 1994 to 2008, Ms. Laube held various positions at Capital One, including as a Vice President. Ms. Laube started her career at Bank One Corporation, where she specialized in operations analysis. Ms. Laube holds a B.S. in Finance and Marketing from the University of Cincinnati. Ms. Laube’s extensive experience in the financial industry, and in analytics and operations, brings a valuable perspective to our Board, along with her experience as a chief executive officer.</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Thomas Loverro. </w:t>
      </w:r>
      <w:r>
        <w:rPr>
          <w:rFonts w:ascii="Arial" w:cs="Arial" w:eastAsia="Arial" w:hAnsi="Arial"/>
          <w:sz w:val="18"/>
          <w:szCs w:val="18"/>
          <w:color w:val="auto"/>
        </w:rPr>
        <w:t>Mr. Loverro has been a member of our board of directors since 2019. Mr. Loverro is currently a General Partner and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at IVP, a role he has held since 2019. Prior to that Mr. Loverro served as a Principal at IVP. Prior to joining IVP in 2015, Mr. Loverro was a Principal at RRE Ventures. Mr. Loverro holds a B.A. from Stanford University, where he graduated with Distinction and a M.B.A. from the Kellogg School of Management. Mr. Loverro’s years of experience in venture capital investing and his insights in building businesses provide a valuable perspective to our Board.</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James D. Robinson III. </w:t>
      </w:r>
      <w:r>
        <w:rPr>
          <w:rFonts w:ascii="Arial" w:cs="Arial" w:eastAsia="Arial" w:hAnsi="Arial"/>
          <w:sz w:val="17"/>
          <w:szCs w:val="17"/>
          <w:color w:val="auto"/>
        </w:rPr>
        <w:t>Mr. Robinson has been a member of our board of directors since 2017. Mr. Robinson is a founder and general partner at RRE</w:t>
      </w:r>
      <w:r>
        <w:rPr>
          <w:rFonts w:ascii="Arial" w:cs="Arial" w:eastAsia="Arial" w:hAnsi="Arial"/>
          <w:sz w:val="17"/>
          <w:szCs w:val="17"/>
          <w:i w:val="1"/>
          <w:iCs w:val="1"/>
          <w:color w:val="auto"/>
        </w:rPr>
        <w:t xml:space="preserve"> </w:t>
      </w:r>
      <w:r>
        <w:rPr>
          <w:rFonts w:ascii="Arial" w:cs="Arial" w:eastAsia="Arial" w:hAnsi="Arial"/>
          <w:sz w:val="17"/>
          <w:szCs w:val="17"/>
          <w:color w:val="auto"/>
        </w:rPr>
        <w:t>Ventures. Prior to founding RRE in 1994, Mr. Robinson served as Chairman and Chief Executive Officer of American Express Company from 1977 to 1993. Mr. Robinson was also a Partner at White Weld &amp; Co., and an officer of Morgan Guaranty Trust Company, where he served as an Assistant to the Chairman and Chief Executive Officer. He has served since 1970 as both a board member and chairperson of the Memorial Sloan-Kettering Cancer Center, and he is Chairman Emeritus of the Partnership for New York City. He also served as a board member of the Coca-Cola Company from 1975 to 2015 and as a board member of Bristol-Myers Squibb from 1979 to 2008, serving as chairperson from 2005 to 2008. Mr. Robinson holds a B.S. from Georgia Institute of Technology and a M.B.A. from Harvard Business School. Mr. Robinson brings to our Board deep experience in the financial industry, along with his substantial experience as a director of various public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five directors. Our current directors will continue to serve as directors until their resignation, removal or successor is duly elected.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Five of our directors currently serve on the board of directors pursuant to the provisions of a voting agreement dated as of January 30, 2015 between us and certain of our stockholders. Under the terms of this voting agreement, the stockholders who are party thereto agreed to vote their respective shares so as to elect (1) one director designated by Institutional Venture Partners XIV, L.P., currently Mr. Loverro; (2) one director designated by RRE Ventures VI LP, currently Mr. Robinson; (3) two independent directors elected by the holders of common stock and preferred stock, currently Ms. Ceran and Ms. Laube; and (4) one director designated by the holders of Class F common stock, currently Mr. Chen. This voting agreement will terminate upon the closing of this offering and there will be no further contractual arrangements regarding the election of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Mses. Ceran and Laube and Messrs. Loverro and Robinson do not have relationships that would interfere with the exercise of independent judgment in carrying out the responsibilities of a director and that each of these directors is “independent” as that term is defined under the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 “controlled company” under the corporate governance rules of the Nasdaq Listing Rules because Tim Chen and his affiliated trusts control a majority of the voting power of our outstanding capital stock. Therefore, we are not required to have a majority of our board of directors be independent, nor are we required to have a compensation committee or an independent nominating function. In light of our status as a controlled company, our board of directors has determined not to have an independent nominating function and to have the full board of directors be directly responsible for nominating members of our board of directors. Our board of directors has also determined to have a compensation committee (although we are not required to have one), but our compensation committee will not be comprised solely of independent directors. Additionally, so long as the outstanding shares of our Class B common stock held by Mr. Chen and his affiliated trusts represent a majority of the combined voting power of our common stock, Mr. Chen will be able to effectively control all matters submitted to our stockholders for a vote, as well as the overall management and direction of our company.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board of directors has established an audit committee and a compensation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audit committee consists of Mses. Ceran and Laube and Mr. Loverro. Our board of directors has determined that Mses. Ceran and Laube and Mr. Loverro satisfy the independence requirements under the listing standards of Nasdaq and Rule 10A-3(b)(1) of the Exchange Act. The chair of our audit committee is Ms. Ceran. Our board of directors has determined that Ms. Ceran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30"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listing standards of Nasdaq.</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compensation committee consists of Ms. Laube and Mr. Robinson. The chair of our compensation committee is Ms. Laube. Our board of directors has determined that each of Ms. Laube and Mr. Robinson is independent under the listing standards of Nasdaq, and a “non-employee director” as defined in Rule 16b-3 promulgated under the Exchange Act. Since we are a “controlled company” under the Nasdaq corporate governance rules, we are not required to have a compensation committee consisting solely of independent directors.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30"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chief executive officer and other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listing standards of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a code of business conduct and ethics that applies to our directors, officers and employees, including our principal executive officer, principal financial officer, principal accounting officer or controller, or persons performing similar functions. Upon the completion of this offering, our code of business conduct and ethics will be available under the Corporate Governance section of our website at https://www.nerdwallet.com.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2020, we did not pay cash compensation to any of our non-employee directors for service on our board of directors.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However, during our 2020 fiscal year, we granted options to purchase 120,000 shares of our Class A common stock to each of Jennifer Ceran and Lynne Laube on July 27, 2020 and November 11, 2020, respectively, at an exercise price per share of $12.96 and $13.52, respectively. Such options vest over four years of continuous service, with 25% of the option shares vesting after one year of continuous service and 1/48th of the option shares vesting monthly thereafter.</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sets forth information regarding the compensation earned or paid to our directors during the year ended December 31, 2020, other than Tim Chen, our Chief Executive Officer, who is also the Chairman of our board of directors but did not receive any additional compensation for service as a director. The compensation of Mr. Chen as a named executive officer is set forth below under “Executive Compensation—Summary Compensation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80" w:type="dxa"/>
            <w:vAlign w:val="bottom"/>
            <w:gridSpan w:val="2"/>
          </w:tcPr>
          <w:p>
            <w:pPr>
              <w:ind w:left="1360"/>
              <w:spacing w:after="0"/>
              <w:rPr>
                <w:sz w:val="20"/>
                <w:szCs w:val="20"/>
                <w:color w:val="auto"/>
              </w:rPr>
            </w:pPr>
            <w:r>
              <w:rPr>
                <w:rFonts w:ascii="Arial" w:cs="Arial" w:eastAsia="Arial" w:hAnsi="Arial"/>
                <w:sz w:val="14"/>
                <w:szCs w:val="14"/>
                <w:b w:val="1"/>
                <w:bCs w:val="1"/>
                <w:color w:val="auto"/>
              </w:rPr>
              <w:t>Option Awards</w:t>
            </w:r>
          </w:p>
        </w:tc>
        <w:tc>
          <w:tcPr>
            <w:tcW w:w="3680" w:type="dxa"/>
            <w:vAlign w:val="bottom"/>
          </w:tcPr>
          <w:p>
            <w:pPr>
              <w:ind w:left="1680"/>
              <w:spacing w:after="0"/>
              <w:rPr>
                <w:sz w:val="20"/>
                <w:szCs w:val="20"/>
                <w:color w:val="auto"/>
              </w:rPr>
            </w:pPr>
            <w:r>
              <w:rPr>
                <w:rFonts w:ascii="Arial" w:cs="Arial" w:eastAsia="Arial" w:hAnsi="Arial"/>
                <w:sz w:val="14"/>
                <w:szCs w:val="14"/>
                <w:b w:val="1"/>
                <w:bCs w:val="1"/>
                <w:color w:val="auto"/>
              </w:rPr>
              <w:t>Total</w:t>
            </w:r>
          </w:p>
        </w:tc>
      </w:tr>
      <w:tr>
        <w:trPr>
          <w:trHeight w:val="215"/>
        </w:trPr>
        <w:tc>
          <w:tcPr>
            <w:tcW w:w="368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4"/>
                <w:szCs w:val="24"/>
                <w:b w:val="1"/>
                <w:bCs w:val="1"/>
                <w:color w:val="auto"/>
                <w:w w:val="96"/>
                <w:vertAlign w:val="subscript"/>
              </w:rPr>
              <w:t>($)</w:t>
            </w:r>
            <w:r>
              <w:rPr>
                <w:rFonts w:ascii="Arial" w:cs="Arial" w:eastAsia="Arial" w:hAnsi="Arial"/>
                <w:sz w:val="9"/>
                <w:szCs w:val="9"/>
                <w:b w:val="1"/>
                <w:bCs w:val="1"/>
                <w:color w:val="auto"/>
                <w:w w:val="96"/>
              </w:rPr>
              <w:t>(1)(2)</w:t>
            </w:r>
          </w:p>
        </w:tc>
        <w:tc>
          <w:tcPr>
            <w:tcW w:w="100" w:type="dxa"/>
            <w:vAlign w:val="bottom"/>
            <w:tcBorders>
              <w:bottom w:val="single" w:sz="8" w:color="CCEEFF"/>
            </w:tcBorders>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43"/>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Jennifer E. Ceran</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790,623</w:t>
            </w:r>
          </w:p>
        </w:tc>
        <w:tc>
          <w:tcPr>
            <w:tcW w:w="10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790,623</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Lynne M. Laube</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822,396</w:t>
            </w:r>
          </w:p>
        </w:tc>
        <w:tc>
          <w:tcPr>
            <w:tcW w:w="100" w:type="dxa"/>
            <w:vAlign w:val="bottom"/>
          </w:tcPr>
          <w:p>
            <w:pPr>
              <w:spacing w:after="0"/>
              <w:rPr>
                <w:sz w:val="21"/>
                <w:szCs w:val="21"/>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822,396</w:t>
            </w: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Loverro</w:t>
            </w: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James D. Robinson III</w:t>
            </w: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6"/>
        </w:trPr>
        <w:tc>
          <w:tcPr>
            <w:tcW w:w="3680" w:type="dxa"/>
            <w:vAlign w:val="bottom"/>
          </w:tcPr>
          <w:p>
            <w:pPr>
              <w:spacing w:after="0"/>
              <w:rPr>
                <w:sz w:val="20"/>
                <w:szCs w:val="20"/>
                <w:color w:val="auto"/>
              </w:rPr>
            </w:pPr>
            <w:r>
              <w:rPr>
                <w:rFonts w:ascii="Arial" w:cs="Arial" w:eastAsia="Arial" w:hAnsi="Arial"/>
                <w:sz w:val="18"/>
                <w:szCs w:val="18"/>
                <w:color w:val="auto"/>
              </w:rPr>
              <w:t>____________</w:t>
            </w: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bl>
    <w:p>
      <w:pPr>
        <w:jc w:val="both"/>
        <w:ind w:left="340" w:hanging="332"/>
        <w:spacing w:after="0" w:line="241"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amounts reported represent the aggregate grant date fair value of the stock options granted to our directors during 2020 under the 2012 Plan, computed in accordance with Financial Accounting Standard Board Accounting Standards Codification, Topic 718, or ASC Topic 718. The assumptions used in calculating the grant date fair value of the stock options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aggregate number of shares subject to each non-employee director’s outstanding and unexercised option awards as of December 31, 2020 is set forth in the table below.</w:t>
      </w:r>
    </w:p>
    <w:p>
      <w:pPr>
        <w:spacing w:after="0" w:line="1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 below shows the aggregate numbers of outstanding and unexercised option awards held by each non-employee director as of December 31,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gridSpan w:val="2"/>
          </w:tcPr>
          <w:p>
            <w:pPr>
              <w:ind w:left="2600"/>
              <w:spacing w:after="0"/>
              <w:rPr>
                <w:sz w:val="20"/>
                <w:szCs w:val="20"/>
                <w:color w:val="auto"/>
              </w:rPr>
            </w:pPr>
            <w:r>
              <w:rPr>
                <w:rFonts w:ascii="Arial" w:cs="Arial" w:eastAsia="Arial" w:hAnsi="Arial"/>
                <w:sz w:val="14"/>
                <w:szCs w:val="14"/>
                <w:b w:val="1"/>
                <w:bCs w:val="1"/>
                <w:color w:val="auto"/>
              </w:rPr>
              <w:t>Name</w:t>
            </w:r>
          </w:p>
        </w:tc>
        <w:tc>
          <w:tcPr>
            <w:tcW w:w="5580" w:type="dxa"/>
            <w:vAlign w:val="bottom"/>
          </w:tcPr>
          <w:p>
            <w:pPr>
              <w:ind w:left="1380"/>
              <w:spacing w:after="0"/>
              <w:rPr>
                <w:sz w:val="20"/>
                <w:szCs w:val="20"/>
                <w:color w:val="auto"/>
              </w:rPr>
            </w:pPr>
            <w:r>
              <w:rPr>
                <w:rFonts w:ascii="Arial" w:cs="Arial" w:eastAsia="Arial" w:hAnsi="Arial"/>
                <w:sz w:val="14"/>
                <w:szCs w:val="14"/>
                <w:b w:val="1"/>
                <w:bCs w:val="1"/>
                <w:color w:val="auto"/>
              </w:rPr>
              <w:t>Options Outstanding as of December 31, 2020</w:t>
            </w:r>
          </w:p>
        </w:tc>
      </w:tr>
      <w:tr>
        <w:trPr>
          <w:trHeight w:val="25"/>
        </w:trPr>
        <w:tc>
          <w:tcPr>
            <w:tcW w:w="5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Jennifer E. Ceran</w:t>
            </w:r>
          </w:p>
        </w:tc>
        <w:tc>
          <w:tcPr>
            <w:tcW w:w="5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120,000</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Lynne M. Laube</w:t>
            </w:r>
          </w:p>
        </w:tc>
        <w:tc>
          <w:tcPr>
            <w:tcW w:w="5580" w:type="dxa"/>
            <w:vAlign w:val="bottom"/>
          </w:tcPr>
          <w:p>
            <w:pPr>
              <w:jc w:val="center"/>
              <w:spacing w:after="0"/>
              <w:rPr>
                <w:sz w:val="20"/>
                <w:szCs w:val="20"/>
                <w:color w:val="auto"/>
              </w:rPr>
            </w:pPr>
            <w:r>
              <w:rPr>
                <w:rFonts w:ascii="Arial" w:cs="Arial" w:eastAsia="Arial" w:hAnsi="Arial"/>
                <w:sz w:val="18"/>
                <w:szCs w:val="18"/>
                <w:color w:val="auto"/>
                <w:w w:val="89"/>
              </w:rPr>
              <w:t>120,000</w:t>
            </w:r>
          </w:p>
        </w:tc>
      </w:tr>
      <w:tr>
        <w:trPr>
          <w:trHeight w:val="27"/>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Loverro</w:t>
            </w:r>
          </w:p>
        </w:tc>
        <w:tc>
          <w:tcPr>
            <w:tcW w:w="5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James D. Robinson III</w:t>
            </w:r>
          </w:p>
        </w:tc>
        <w:tc>
          <w:tcPr>
            <w:tcW w:w="55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board of directors has adopted a non-employee director compensation policy that will become effective on the date of the underwriting agreement for this offering and will be applicable to all of our non-employee directors. This non-employee director compensation policy provides that each non-employee director as of and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date of this policy will receive the following cash compensation for service on our board of directors, paid quarterly, in arrears on the last day of each fiscal quarter in which the service occurred: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gridSpan w:val="2"/>
          </w:tcPr>
          <w:p>
            <w:pPr>
              <w:ind w:left="20"/>
              <w:spacing w:after="0"/>
              <w:rPr>
                <w:sz w:val="20"/>
                <w:szCs w:val="20"/>
                <w:color w:val="auto"/>
              </w:rPr>
            </w:pPr>
            <w:r>
              <w:rPr>
                <w:rFonts w:ascii="Arial" w:cs="Arial" w:eastAsia="Arial" w:hAnsi="Arial"/>
                <w:sz w:val="18"/>
                <w:szCs w:val="18"/>
                <w:b w:val="1"/>
                <w:bCs w:val="1"/>
                <w:color w:val="auto"/>
              </w:rPr>
              <w:t>Position</w:t>
            </w:r>
          </w:p>
        </w:tc>
        <w:tc>
          <w:tcPr>
            <w:tcW w:w="280" w:type="dxa"/>
            <w:vAlign w:val="bottom"/>
          </w:tcPr>
          <w:p>
            <w:pPr>
              <w:spacing w:after="0"/>
              <w:rPr>
                <w:sz w:val="20"/>
                <w:szCs w:val="20"/>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Retainer</w:t>
            </w:r>
          </w:p>
        </w:tc>
      </w:tr>
      <w:tr>
        <w:trPr>
          <w:trHeight w:val="27"/>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Board Member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Chair of the Board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25,000.00</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Lead Independent Director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Audit Committee Chair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20,000.00</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 Committee Chair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12,000.00</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Nominating and Corporate Governance Committee Chair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8,000.00</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Audit Committee Member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Compensation Committee Member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Nominating and Corporate Governance Committee Member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7"/>
        </w:trPr>
        <w:tc>
          <w:tcPr>
            <w:tcW w:w="9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each non-employee director who is elected or appointed to our board of directors for the first time following the effective date of the registration statement of which this prospectus forms a part will automatically be granted, upon the date of such election or appointment, an initial, one-time grant of restricted stock units with an aggregate grant date value of $300,000, vesting in three equal annual installments following such election or appointment date, subject to the non-employee director’s remaining in our continuous service through each vesting date. Such grant will vest in full upon our change in control, subject to the non-employee director remaining in our continuous service through such change in control date.</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 on the date of each annual stockholder meeting held after the effective date of the registration statement of which this prospectus forms a part, each non-employee director who has completed at least three months of continuous service as a non-employee director as of the date of such annual stockholder meeting and who will continue to serve as a non-employee member of our board of directors following such stockholder meeting will be automatically granted restricted stock units with an aggregate grant date value of $150,000. An eligible non-employee director who received an initial grant at least three, but less than six, months prior to the annual stockholder meeting date will be granted restricted stock units with an aggregate grant date fair value of $75,000.</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Shares subject to the annual grant will vest on the earlier to occur of the one-year anniversary of the grant date and the day prior to the date of our next annual stockholder meeting, subject to the non-employee director remaining in our continuous service through the vesting date; provided, that the grant will vest in full upon our change in control, subject to the non-employee director remaining in our continuous service through such change in control date.</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the grants described above will be granted under our 2021 Equity Incentive Plan, or 2021 Plan, which will become effective on the date of the underwriting agreement related to this offering, the terms of which are described in more detail below in the section titled “Executive Compensation— Equity Incentive Plans—2021 Equity Incentive Plan.” In addition, the aggregate value of all compensation granted or paid, as applicable, to any non-employee director shall in no event exceed the limits set forth in the 2021 Plan.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will reimburse non-employee directors for ordinary, necessary and reasonable out-of-pocket travel expenses to cover in-person attendance at and participation in Board and committee meetings, subject to compliance with our applicable policies.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non-employee director may decline all or any portion of such non-employee director’s compensation by giving notice to us prior to the date cash may be paid or equity awards are to be granted,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106</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is a summary of the rights of our capital stock and some of the provisions of our amended and restated certificate of incorporation and amended and restated bylaws, which will each become effective upon the completion of this offering, the investors’ rights agreement and relevant provisions of Delaware General Corporation Law. The descriptions herein are qualified in their entirety by our amended and restated certificate of incorporation, amended and restated bylaws and investors’ rights agreement, copies of which have been filed as exhibits to the registration statement of which this prospectus is a part, as well as the relevant provisions of Delaware General Corporation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for two classes of common stock: Class A common stock and Class B common stock. In addition, our amended and restated certificate of incorporation will authorize shares of undesignated preferred stock, the rights, preferences, and privileges of which may be designated from time to time by our board of directors.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the closing of this offering, our authorized capital stock will consist of 301,686,000 shares, all with a par value of $0.0001 per share, of which:</w:t>
      </w:r>
    </w:p>
    <w:p>
      <w:pPr>
        <w:spacing w:after="0" w:line="194"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265,000,000 shares are designated as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31,686,000 shares are designated as Class B common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5,000,000 shares are designated as preferred stock.</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September 30, 2021, we had 31,685,652 shares of Class F common stock, 18,284,865 shares of Class A common stock and 7,526,824 shares of redeemable convertible preferred stock outstanding. After giving effect to the reclassification of all outstanding shares of our Class F common stock to Class B common stock and the conversion of all outstanding shares of redeemable convertible preferred stock into shares of Class A common stock immediately prior to the closing of this offering assuming an initial public offering price of $18.00 per share, which is the midpoint of the price range set forth on the cover page of this prospectus, provided that the actual number of shares of Class A common stock that will be issued upon conversion of our redeemable convertible preferred stock is subject to increase in the event the initial public offering price is less than $17.9592 per share as more fully described in “Capitalization” and below, there would have been 31,685,652 shares of Class B common stock and 25,811,689 shares of Class A common stock outstanding on September 30, 2021, held by 805 stockholders of record. As of September 30, 2021, we also had outstanding options to acquire 6,932,360 shares of Class A common stock and 2,854,438 shares of Class A common stock subject to RSUs.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and Class B Common Stock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with respect to voting, conversion, and transfer rights as described below and as otherwise expressly provided in our amended and restated certificate of incorporation or required by applicable law, shares of Class A common stock and Class B common stock will have the same rights and privileges and rank equally, share ratably, and be identical in all respects as to all matters.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and Distribution Rights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Subject to the prior rights of holders of all classes and series of stock at the time outstanding having prior rights as to dividends, the holders of Class A common stock and Class B common stock will be entitled to receive, when, as and if declared by the board of directors, out of any of our assets legally available therefor, such dividends as may be declared from time to time by the board of directors. Any dividends paid to the holders of Class A common stock and Class B common stock shall be paid pro rata, on an equal priority, pari passu basis, unless different treatment of the shares of each such class is approved by the affirmative vote of the holders of the majority of the outstanding shares of the applicable class of common stock treated adversely, voting separately as a class. We will not declare or pay any dividend or make any other distribution to the holders of Class A common stock or Class B common stock payable in our securities unless the same dividend or distribution with the same record date and payment date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107</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as applicable, are declared and paid to the holders of Class A common stock at the same rate and with the same record date and payment date.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Holders of our Class A common stock and Class B common stock have identical voting rights, provided that, except as otherwise expressly provided in our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10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in order for us to, directly or indirectly, effect an asset transfer, acquisition, or liquidation event (each as defined in our amended and restated certificate of incorporation) pursuant to which the Class A common stock would not receive equivalent consideration (as defined in our amended and restated certificate of incorporation) to the Class B common stock, and there will be a separate vote of our Class B common stock in order for us to, directly or indirectly, take action in the following circumstances:</w:t>
      </w:r>
    </w:p>
    <w:p>
      <w:pPr>
        <w:spacing w:after="0" w:line="127" w:lineRule="exact"/>
        <w:rPr>
          <w:sz w:val="20"/>
          <w:szCs w:val="20"/>
          <w:color w:val="auto"/>
        </w:rPr>
      </w:pPr>
    </w:p>
    <w:p>
      <w:pPr>
        <w:jc w:val="both"/>
        <w:ind w:left="660" w:hanging="328"/>
        <w:spacing w:after="0" w:line="342" w:lineRule="auto"/>
        <w:tabs>
          <w:tab w:leader="none" w:pos="6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we propose to amend, alter, or repeal any provision of our amended and restated certificate of incorporation or our amended and restated bylaws that modifies the voting, conversion, or other powers, preferences, or other special rights or privileges or restrictions of the Class B common stock;</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we authorize any shares of capital stock, or reclassify any outstanding shares of the Class A common stock into shares, that are entitled to more than one vote for each share thereof; or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we effect an asset transfer, acquisition, or liquidation event (each as defined in our amended and restated certificate of incorporation) pursuant to which the Class B common stock would not receive equivalent consideration (as defined in our amended and restated certificate of incorporation) to the Class A common stock.</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Delaware law would permit holders of Class A common stock to vote separately, as a single class, if an amendment of our amended and restated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amended and restated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amended and restated certificate of incorporation.</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except as otherwise required by applicable law, holders of Class A common stock and Class B common stock shall not be entitled to vote on any amendment to our amended and restated certificate of incorporation that relates solely to the terms of one or more series of preferred stock if the holders of such affected series of preferred stock are entitled to vote thereon pursuant to our amended and restated certificate of incorporation or applicable law.</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the closing of this offering, under our amended and restated certificate of incorporation, we may not increase or decrease the authorized number of shares of Class A common stock or Class B common stock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108</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affirmative vote of the holders of a majority of the combined voting power of the outstanding shares of Class A common stock and Class B common stock, voting together as a single class.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not provide for cumulative voting for the election of directors.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 The rights, preferences, and privileges of the holders of our common stock are subject to, and may be adversely affected by, the rights of the holders of any series of our preferred stock that we may designate and issue in the future.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event of our liquidation, dissolution, or winding-up, upon the completion of the distributions required with respect to any series of preferred stock that may then be outstanding, or remaining assets legally available for distribution to stockholders shall be distributed on an equal priority, pro rata basis to the holders of Class A common stock and Class B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we subdivide or combine in any manner outstanding shares of Class A common stock or Class B common stock, then the outstanding shares of all common stock will be subdivided or combined in the same proportion and manner.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Each share of Class B common stock is convertible, at any time at the option of the holder, into one share of Class A common stock. Each share of Class B common stock will automatically convert into one share of Class A common stock upon any transfer, whether or not for value and whether voluntary or involuntary or by operation of law, except for certain transfers for tax and estate planning purposes so long as the transferring holder continues to hold sole voting and dispositive power, or has the direct or indirect power to replace any person having voting or dispositive power, over the applicable shares after such Transfer, as described in our amended and restated certificate of incorporation that will be in effect following the closing of this offering, or to an entity approved by the holders of Class B common stock and a majority of the independent directors. In addition, all the outstanding shares of Class B common stock will convert automatically into Class A common stock, on a one-to-one basis, (1) nine months following the death or permanent incapacity of Tim Chen, our Co-founder, Chief Executive Officer and Chairman of our board of directors, and (2) the first trading day that falls nine months after the date on which there are outstanding less than 5,000,000 shares of Class B common stock (subject to adjustment for stock splits, stock dividends, stock combinations and the like). Our Class A common stock is not subject to conversion provisions.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common stock will be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Applicable insurance laws restrict the ability of our insurance subsidiary to declare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State insurance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109</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authorities that have jurisdiction over the payment of dividends by our insurance subsidiary may in the future adopt statutory provisions more restrictive than those currently in effect.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Matters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common stock will have no preemptive rights pursuant to the terms of our amended and restated certificate of incorporation and our amended and restated bylaws. There will be no redemption or sinking fund provisions applicable to the common stock. All outstanding shares of our common stock will be fully paid and non-assessable, and the shares of our common stock offered in this offering, upon payment and delivery in accordance with the underwriting agreement, will be fully paid and non-assessable.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of September 30, 2021, there were 7,526,824 shares of redeemable convertible preferred stock outstanding. Upon the closing of this offering, all outstanding shares of our redeemable convertible preferred stock as of September 30, 2021 will convert into 7,526,824 shares of our Class A common stock, based upon an assumed initial public offering price of $18.00 per share, which is the midpoint of the price range set forth on the cover page of this prospectus. The actual number of shares of our Class A common stock to be issued upon the conversion of all outstanding shares of our redeemable convertible preferred stock depends, in part, on the initial public offering price of our Class A common stock. We expect the initial public offering price of our Class A common stock to be between $17.00 and $19.00 per share, as set forth on the cover page of this prospectus. However, the actual initial public offering price may be higher or lower, and if the actual initial public offering price is less than $17.9592 per share, the number of shares of our Class A common stock to be issued upon the conversion of our redeemable convertible preferred stock will increase, as described in more detail below. We will not know the initial public offering price and, as a result, the total number of shares of Class A common stock to be issued upon the conversion of these shares of redeemable convertible preferred stock, until the determination of the actual price per share following the effectiveness of the registration statement of which this prospectus forms a part. If the initial public offering price per share is less than $17.9592, the conversion ratio of the redeemable convertible preferred stock will be adjusted, immediately prior to the consummation of the offering, to provide that each share of redeemable convertible preferred stock will convert into a number of shares of Class A common stock with an an aggregate value, based on the initial public offering price, equal to $17.9592. Based on an assumed initial public offering price of $18.00 per share, which is the midpoint of the price range set forth on the cover page of this prospectus, our redeemable convertible preferred stock would convert to Class A common stock at a ratio of 1 to 1.</w:t>
      </w:r>
    </w:p>
    <w:p>
      <w:pPr>
        <w:spacing w:after="0" w:line="11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Upon the closing of this offering, 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closing of this offering, no shares of preferred stock will be outstanding, and we have no present plan to issue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110</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2021, we had outstanding options under our equity compensation plans to purchase an aggregate of 6,932,360 shares of our Class A common stock, with a weighted average exercise price of $8.32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September 30, 2021, we had outstanding 2,854,438 shares of our Class A common stock subject to RSUs under our 2012 Plan. Our outstanding RSUs vest upon the satisfaction of a time-based condition. For outstanding RSUs granted to new hires, the time-based condition will be satisfied following seventeen successive quarters, with one quarter of the RSUs vesting on the first quarterly installment date following the first anniversary of the vesting commencement date and the remaining seventy-five percent vesting in substantially equal installments over sixteen successive quarters thereafter. For outstanding RSUs granted to existing employees, the time-based condition will be satisfied in sixteen successive equal quarterly installments. In each case vesting is subject to continued service through each such vesting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party to an investors’ rights agreement and other letter agreements that provide that certain holders of our redeemable convertible preferred stock, including certain holders of at least 1% of our outstanding capital stock, have certain registration rights as set forth below. The registration of shares of our Class A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0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Generally, in an underwritten offering, the managing underwriter, if any, has the right, subject to specified conditions, to limit the number of shares such holders may include. The demand, piggyback and Form S-3 registration rights described below will expire three years after the closing of this offering, of which this prospectus is a part, or with respect to any particular stockholder, such time after the closing of this offering that such stockholder can sell all of its shares entitled to registration rights under Rule 144 of the Securities Act during any 90-day period.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holders of an aggregate of 7,515,584 shares of our Class A common stock will be entitled to certain demand registration rights. At any time beginning the 180 days after the completion of this offering, certain holders of these shares may request that we register all or a portion of the registrable shares. We are obligated to effect only one such registration. Such request for registration must cover at least 40% of then outstanding registrable securities (or a lesser percent if the anticipated aggregate offering price, before deduction of underwriting discounts and commissions, is at least $25 million).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this offering, the holders of an aggregate of 15,613,994shares of our Class A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employee benefit plan, (ii) the offer and sale of debt securities or the stock issuable upon conversion thereof, (iii) any corporate reorganization or transaction under Rule 145 of the Securities Act, including any registration statements related to the issuance or resale of securities issued in such a transaction, or (iv) a registration on any form that does not include substantially the same information as would be required to be included a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111</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statement covering the sale of the registrable securities,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holders of an aggregate of 7,515,584 shares of Class A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$5 million. We will not be required to effect more than two registrations on Form S-3 within any 12-month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or will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described above in “Class A and Class B Common Stock—Voting Rights,” our amended and restated certificate of incorporation will provide for a dual class common stock structure, which will provide our Co-founder and current Chief Executive Officer with significant influence over all matters requiring stockholder approval, including the election of directors and significant corporate transactions, such as a merger or other sale of our company or our assets.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bylaws will provide that a special meeting of stockholders may be called only by our chairperson of the board, our chief executive officer, by a holder of more than 21,000,000 shares of Class B common stock (subject to adjustment for stock splits, stock dividends, stock combinations and the like), or by a resolution adopted by a majority of our board of directors.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will eliminate the right of stockholders to act by written consent without a meeting unless specifically authorized therein with respect to matters upon which the holders of Class B common stock have a separate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112</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to be effective on the completion of this offering will provide that the Court of Chancery of the State of Delaware be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Corporate Law confers jurisdiction to the Court of Chancery of the State of Delaware; or (6) any action asserting a claim against us that is governed by the internal affairs doctrine. This choice of forum provision does not apply to suits brought to enforce a duty or liability created by the Securities Act or the Exchange Act, or any claim for which the federal courts have exclusive jurisdiction. Our amended and restated certificate of incorporation to be effective immediately prior to the closing of this offering will further provide that, unless we consent in writing to the selection of an alternative forum, to the fullest extent permitted by law, the federal district courts of the United States of America will be the exclusive forum for resolving any complaint asserting a cause or causes of action arising under the Securities Act, including all causes of action asserted against any defendant to such complaint. Additionally, our amended and restated certificate of incorporation to be effective on the completion of this offering will provide that any person or entity holding, owning or otherwise acquiring any interest in any of our securities shall be deemed to have notice of and consented to these provisions.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113</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preventing changes in the composition of our board and management. It is possible that these provisions could make it more difficult to accomplish transactions that stockholders may otherwise deem to be in their best interests. Our amended and restated certificate of incorporation that will become effective upon the closing of this offering provides that the Court of Chancery of the State of Delaware will, to the fullest extent permitted by applicable law, be the exclusive forum for substantially all disputes between us and our stockholders, which could limit our stockholders’ ability to obtain a favorable judicial forum for disputes with us or our directors, officers or employees. Any person or entity purchasing or otherwise acquiring any interest in our securities shall be deemed to have notice of and consented to this provision. Although we believe this provision benefits us by providing increased consistency in the application of Delaware law in the types of lawsuits to which it applies, the provision may have the effect of discouraging lawsuits against our directors and officers. See the section titled “Risk Factors—Risks Related to this Offering and Ownership of Our Class A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transfer agent and registrar for our Class A common stock will be Broadridge Corporate Issuer Solutions, Inc. The transfer agent and registrar’s address is 51 Mercedes Way, Edgewood, New York 11717.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currently not listed on any securities exchange. We have applied to have our Class A common stock listed on Nasdaq under the symbol “NRDS.”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114</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this offering, there has been no public market for our Class A common stock. Future sales of substantial amounts of Class A common stock in the public market, or the perception that such sales may occur, could adversely affect the market price of our Class A common stock. Although we have applied to have our Class A common stock listed on Nasdaq, we cannot assure you that there will be an active public market for our Class A common stock.</w:t>
      </w:r>
    </w:p>
    <w:p>
      <w:pPr>
        <w:spacing w:after="0" w:line="13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Following the completion of this offering, based on the number of shares of our common stock outstanding as of September 30, 2021 and assuming (1) the issuance of shares of common stock in this offering, (2) the conversion of all outstanding shares of our redeemable convertible preferred stock into shares of our Class A common stock, which will automatically occur upon the closing of the offering (but no issuance of the Series A Preferred Stock Additional Issuance Shares), (3) the reclassification of all outstanding shares of our Class F common stock into an equal number of shares of our Class B common stock; (4) the filing and effectiveness of our amended and restated certificate of incorporation in connection with the closing of this offering, and</w:t>
      </w:r>
    </w:p>
    <w:p>
      <w:pPr>
        <w:spacing w:after="0" w:line="2" w:lineRule="exact"/>
        <w:rPr>
          <w:sz w:val="20"/>
          <w:szCs w:val="20"/>
          <w:color w:val="auto"/>
        </w:rPr>
      </w:pPr>
    </w:p>
    <w:p>
      <w:pPr>
        <w:ind w:firstLine="8"/>
        <w:spacing w:after="0" w:line="260" w:lineRule="auto"/>
        <w:tabs>
          <w:tab w:leader="none" w:pos="2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we will have outstanding an aggregate of approximately 33,061,689 shares of Class A common stock</w:t>
      </w:r>
    </w:p>
    <w:p>
      <w:pPr>
        <w:spacing w:after="0" w:line="13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Of these shares, all shares of Class A common stock sold in this offering will be freely tradable without restriction or further registration under the Securities Act, except for any shares of common stock purchased by our “affiliates,” as that term is defined in Rule 144 under the Securities Act. Shares purchased by our affiliates would be subject to the Rule 144 resale restrictions described below, other than the holding period requirement.</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remaining outstanding shares of our Class A common stock will be, and shares underlying outstanding RSUs and shares subject to stock options will be upon issuance, deemed “restricted securities” as defined in Rule 144 under the Securities Act. These restricted securities are eligible for public sale only if they are registered under the Securities Act or if they qualify for an exemption from registration under Rule 144 or 701 under the Securities Act, each of which is summarized below. As a result of the lock-up agreements described below and subject to the provisions of Rules 144 or 701, these restricted securities will be available for sale in the public market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Earliest Date Available for Sale in the Public Market</w:t>
            </w:r>
          </w:p>
        </w:tc>
        <w:tc>
          <w:tcPr>
            <w:tcW w:w="560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Number of Shares of Class A Common Stock</w:t>
            </w:r>
          </w:p>
        </w:tc>
      </w:tr>
      <w:tr>
        <w:trPr>
          <w:trHeight w:val="188"/>
        </w:trPr>
        <w:tc>
          <w:tcPr>
            <w:tcW w:w="5640" w:type="dxa"/>
            <w:vAlign w:val="bottom"/>
          </w:tcPr>
          <w:p>
            <w:pPr>
              <w:ind w:left="20"/>
              <w:spacing w:after="0" w:line="189" w:lineRule="exact"/>
              <w:rPr>
                <w:sz w:val="20"/>
                <w:szCs w:val="20"/>
                <w:color w:val="auto"/>
              </w:rPr>
            </w:pPr>
            <w:r>
              <w:rPr>
                <w:rFonts w:ascii="Arial" w:cs="Arial" w:eastAsia="Arial" w:hAnsi="Arial"/>
                <w:sz w:val="18"/>
                <w:szCs w:val="18"/>
                <w:color w:val="auto"/>
              </w:rPr>
              <w:t>The third trading day immediately following our first public release of</w:t>
            </w:r>
          </w:p>
        </w:tc>
        <w:tc>
          <w:tcPr>
            <w:tcW w:w="5600" w:type="dxa"/>
            <w:vAlign w:val="bottom"/>
          </w:tcPr>
          <w:p>
            <w:pPr>
              <w:ind w:left="320"/>
              <w:spacing w:after="0" w:line="189" w:lineRule="exact"/>
              <w:rPr>
                <w:sz w:val="20"/>
                <w:szCs w:val="20"/>
                <w:color w:val="auto"/>
              </w:rPr>
            </w:pPr>
            <w:r>
              <w:rPr>
                <w:rFonts w:ascii="Arial" w:cs="Arial" w:eastAsia="Arial" w:hAnsi="Arial"/>
                <w:sz w:val="18"/>
                <w:szCs w:val="18"/>
                <w:color w:val="auto"/>
                <w:w w:val="92"/>
              </w:rPr>
              <w:t>Up to an aggregate of 7,571,291 vested shares of our Class A common</w:t>
            </w:r>
          </w:p>
        </w:tc>
      </w:tr>
      <w:tr>
        <w:trPr>
          <w:trHeight w:val="189"/>
        </w:trPr>
        <w:tc>
          <w:tcPr>
            <w:tcW w:w="5640" w:type="dxa"/>
            <w:vAlign w:val="bottom"/>
          </w:tcPr>
          <w:p>
            <w:pPr>
              <w:ind w:left="20"/>
              <w:spacing w:after="0" w:line="189" w:lineRule="exact"/>
              <w:rPr>
                <w:sz w:val="20"/>
                <w:szCs w:val="20"/>
                <w:color w:val="auto"/>
              </w:rPr>
            </w:pPr>
            <w:r>
              <w:rPr>
                <w:rFonts w:ascii="Arial" w:cs="Arial" w:eastAsia="Arial" w:hAnsi="Arial"/>
                <w:sz w:val="18"/>
                <w:szCs w:val="18"/>
                <w:color w:val="auto"/>
                <w:w w:val="97"/>
              </w:rPr>
              <w:t>earnings, or the early release date; provided that the closing price of our</w:t>
            </w:r>
          </w:p>
        </w:tc>
        <w:tc>
          <w:tcPr>
            <w:tcW w:w="5600" w:type="dxa"/>
            <w:vAlign w:val="bottom"/>
          </w:tcPr>
          <w:p>
            <w:pPr>
              <w:ind w:left="320"/>
              <w:spacing w:after="0" w:line="189" w:lineRule="exact"/>
              <w:rPr>
                <w:sz w:val="20"/>
                <w:szCs w:val="20"/>
                <w:color w:val="auto"/>
              </w:rPr>
            </w:pPr>
            <w:r>
              <w:rPr>
                <w:rFonts w:ascii="Arial" w:cs="Arial" w:eastAsia="Arial" w:hAnsi="Arial"/>
                <w:sz w:val="18"/>
                <w:szCs w:val="18"/>
                <w:color w:val="auto"/>
                <w:w w:val="99"/>
              </w:rPr>
              <w:t>stock and other vested securities convertible into or exercisable or</w:t>
            </w:r>
          </w:p>
        </w:tc>
      </w:tr>
      <w:tr>
        <w:trPr>
          <w:trHeight w:val="189"/>
        </w:trPr>
        <w:tc>
          <w:tcPr>
            <w:tcW w:w="5640" w:type="dxa"/>
            <w:vAlign w:val="bottom"/>
          </w:tcPr>
          <w:p>
            <w:pPr>
              <w:ind w:left="20"/>
              <w:spacing w:after="0" w:line="189" w:lineRule="exact"/>
              <w:rPr>
                <w:sz w:val="20"/>
                <w:szCs w:val="20"/>
                <w:color w:val="auto"/>
              </w:rPr>
            </w:pPr>
            <w:r>
              <w:rPr>
                <w:rFonts w:ascii="Arial" w:cs="Arial" w:eastAsia="Arial" w:hAnsi="Arial"/>
                <w:sz w:val="18"/>
                <w:szCs w:val="18"/>
                <w:color w:val="auto"/>
                <w:w w:val="97"/>
              </w:rPr>
              <w:t>Class A common stock on Nasdaq is at least 20% greater than the initial</w:t>
            </w:r>
          </w:p>
        </w:tc>
        <w:tc>
          <w:tcPr>
            <w:tcW w:w="5600" w:type="dxa"/>
            <w:vAlign w:val="bottom"/>
          </w:tcPr>
          <w:p>
            <w:pPr>
              <w:ind w:left="320"/>
              <w:spacing w:after="0" w:line="189" w:lineRule="exact"/>
              <w:rPr>
                <w:sz w:val="20"/>
                <w:szCs w:val="20"/>
                <w:color w:val="auto"/>
              </w:rPr>
            </w:pPr>
            <w:r>
              <w:rPr>
                <w:rFonts w:ascii="Arial" w:cs="Arial" w:eastAsia="Arial" w:hAnsi="Arial"/>
                <w:sz w:val="18"/>
                <w:szCs w:val="18"/>
                <w:color w:val="auto"/>
                <w:w w:val="92"/>
              </w:rPr>
              <w:t>exchangeable for our Class A common stock as of September 30, 2021</w:t>
            </w:r>
          </w:p>
        </w:tc>
      </w:tr>
      <w:tr>
        <w:trPr>
          <w:trHeight w:val="189"/>
        </w:trPr>
        <w:tc>
          <w:tcPr>
            <w:tcW w:w="5640" w:type="dxa"/>
            <w:vAlign w:val="bottom"/>
          </w:tcPr>
          <w:p>
            <w:pPr>
              <w:ind w:left="20"/>
              <w:spacing w:after="0" w:line="189" w:lineRule="exact"/>
              <w:rPr>
                <w:sz w:val="20"/>
                <w:szCs w:val="20"/>
                <w:color w:val="auto"/>
              </w:rPr>
            </w:pPr>
            <w:r>
              <w:rPr>
                <w:rFonts w:ascii="Arial" w:cs="Arial" w:eastAsia="Arial" w:hAnsi="Arial"/>
                <w:sz w:val="18"/>
                <w:szCs w:val="18"/>
                <w:color w:val="auto"/>
              </w:rPr>
              <w:t>public offering price per share set forth on the cover page of this</w:t>
            </w:r>
          </w:p>
        </w:tc>
        <w:tc>
          <w:tcPr>
            <w:tcW w:w="5600" w:type="dxa"/>
            <w:vAlign w:val="bottom"/>
          </w:tcPr>
          <w:p>
            <w:pPr>
              <w:ind w:left="320"/>
              <w:spacing w:after="0" w:line="189" w:lineRule="exact"/>
              <w:rPr>
                <w:sz w:val="20"/>
                <w:szCs w:val="20"/>
                <w:color w:val="auto"/>
              </w:rPr>
            </w:pPr>
            <w:r>
              <w:rPr>
                <w:rFonts w:ascii="Arial" w:cs="Arial" w:eastAsia="Arial" w:hAnsi="Arial"/>
                <w:sz w:val="18"/>
                <w:szCs w:val="18"/>
                <w:color w:val="auto"/>
                <w:w w:val="92"/>
              </w:rPr>
              <w:t>(assuming no issuance of Series A Preferred Stock Additional Issuance</w:t>
            </w:r>
          </w:p>
        </w:tc>
      </w:tr>
      <w:tr>
        <w:trPr>
          <w:trHeight w:val="189"/>
        </w:trPr>
        <w:tc>
          <w:tcPr>
            <w:tcW w:w="5640" w:type="dxa"/>
            <w:vAlign w:val="bottom"/>
          </w:tcPr>
          <w:p>
            <w:pPr>
              <w:ind w:left="20"/>
              <w:spacing w:after="0" w:line="189" w:lineRule="exact"/>
              <w:rPr>
                <w:sz w:val="20"/>
                <w:szCs w:val="20"/>
                <w:color w:val="auto"/>
              </w:rPr>
            </w:pPr>
            <w:r>
              <w:rPr>
                <w:rFonts w:ascii="Arial" w:cs="Arial" w:eastAsia="Arial" w:hAnsi="Arial"/>
                <w:sz w:val="18"/>
                <w:szCs w:val="18"/>
                <w:color w:val="auto"/>
                <w:w w:val="96"/>
              </w:rPr>
              <w:t>prospectus on (a) any 10 of the prior 15 trading days immediately prior to</w:t>
            </w:r>
          </w:p>
        </w:tc>
        <w:tc>
          <w:tcPr>
            <w:tcW w:w="5600" w:type="dxa"/>
            <w:vAlign w:val="bottom"/>
          </w:tcPr>
          <w:p>
            <w:pPr>
              <w:ind w:left="320"/>
              <w:spacing w:after="0" w:line="189" w:lineRule="exact"/>
              <w:rPr>
                <w:sz w:val="20"/>
                <w:szCs w:val="20"/>
                <w:color w:val="auto"/>
              </w:rPr>
            </w:pPr>
            <w:r>
              <w:rPr>
                <w:rFonts w:ascii="Arial" w:cs="Arial" w:eastAsia="Arial" w:hAnsi="Arial"/>
                <w:sz w:val="18"/>
                <w:szCs w:val="18"/>
                <w:color w:val="auto"/>
              </w:rPr>
              <w:t>Shares). Includes securities owned by</w:t>
            </w:r>
          </w:p>
        </w:tc>
      </w:tr>
      <w:tr>
        <w:trPr>
          <w:trHeight w:val="189"/>
        </w:trPr>
        <w:tc>
          <w:tcPr>
            <w:tcW w:w="5640" w:type="dxa"/>
            <w:vAlign w:val="bottom"/>
          </w:tcPr>
          <w:p>
            <w:pPr>
              <w:ind w:left="20"/>
              <w:spacing w:after="0" w:line="189" w:lineRule="exact"/>
              <w:rPr>
                <w:sz w:val="20"/>
                <w:szCs w:val="20"/>
                <w:color w:val="auto"/>
              </w:rPr>
            </w:pPr>
            <w:r>
              <w:rPr>
                <w:rFonts w:ascii="Arial" w:cs="Arial" w:eastAsia="Arial" w:hAnsi="Arial"/>
                <w:sz w:val="18"/>
                <w:szCs w:val="18"/>
                <w:color w:val="auto"/>
              </w:rPr>
              <w:t>the release of earnings and (b) the closing of the last full trading day</w:t>
            </w:r>
          </w:p>
        </w:tc>
        <w:tc>
          <w:tcPr>
            <w:tcW w:w="5600" w:type="dxa"/>
            <w:vAlign w:val="bottom"/>
          </w:tcPr>
          <w:p>
            <w:pPr>
              <w:ind w:left="660"/>
              <w:spacing w:after="0" w:line="189" w:lineRule="exact"/>
              <w:rPr>
                <w:sz w:val="20"/>
                <w:szCs w:val="20"/>
                <w:color w:val="auto"/>
              </w:rPr>
            </w:pPr>
            <w:r>
              <w:rPr>
                <w:rFonts w:ascii="Arial" w:cs="Arial" w:eastAsia="Arial" w:hAnsi="Arial"/>
                <w:sz w:val="18"/>
                <w:szCs w:val="18"/>
                <w:color w:val="auto"/>
              </w:rPr>
              <w:t>•   our current or former employees,</w:t>
            </w:r>
          </w:p>
        </w:tc>
      </w:tr>
      <w:tr>
        <w:trPr>
          <w:trHeight w:val="189"/>
        </w:trPr>
        <w:tc>
          <w:tcPr>
            <w:tcW w:w="5640" w:type="dxa"/>
            <w:vAlign w:val="bottom"/>
          </w:tcPr>
          <w:p>
            <w:pPr>
              <w:ind w:left="20"/>
              <w:spacing w:after="0" w:line="189" w:lineRule="exact"/>
              <w:rPr>
                <w:sz w:val="20"/>
                <w:szCs w:val="20"/>
                <w:color w:val="auto"/>
              </w:rPr>
            </w:pPr>
            <w:r>
              <w:rPr>
                <w:rFonts w:ascii="Arial" w:cs="Arial" w:eastAsia="Arial" w:hAnsi="Arial"/>
                <w:sz w:val="18"/>
                <w:szCs w:val="18"/>
                <w:color w:val="auto"/>
              </w:rPr>
              <w:t>immediately prior to the early release date.</w:t>
            </w:r>
          </w:p>
        </w:tc>
        <w:tc>
          <w:tcPr>
            <w:tcW w:w="5600" w:type="dxa"/>
            <w:vAlign w:val="bottom"/>
          </w:tcPr>
          <w:p>
            <w:pPr>
              <w:ind w:left="660"/>
              <w:spacing w:after="0" w:line="189" w:lineRule="exact"/>
              <w:rPr>
                <w:sz w:val="20"/>
                <w:szCs w:val="20"/>
                <w:color w:val="auto"/>
              </w:rPr>
            </w:pPr>
            <w:r>
              <w:rPr>
                <w:rFonts w:ascii="Arial" w:cs="Arial" w:eastAsia="Arial" w:hAnsi="Arial"/>
                <w:sz w:val="18"/>
                <w:szCs w:val="18"/>
                <w:color w:val="auto"/>
              </w:rPr>
              <w:t>•   our current directors or officers (but excluding our chief</w:t>
            </w:r>
          </w:p>
        </w:tc>
      </w:tr>
      <w:tr>
        <w:trPr>
          <w:trHeight w:val="189"/>
        </w:trPr>
        <w:tc>
          <w:tcPr>
            <w:tcW w:w="5640" w:type="dxa"/>
            <w:vAlign w:val="bottom"/>
          </w:tcPr>
          <w:p>
            <w:pPr>
              <w:spacing w:after="0"/>
              <w:rPr>
                <w:sz w:val="16"/>
                <w:szCs w:val="16"/>
                <w:color w:val="auto"/>
              </w:rPr>
            </w:pPr>
          </w:p>
        </w:tc>
        <w:tc>
          <w:tcPr>
            <w:tcW w:w="5600" w:type="dxa"/>
            <w:vAlign w:val="bottom"/>
          </w:tcPr>
          <w:p>
            <w:pPr>
              <w:ind w:left="980"/>
              <w:spacing w:after="0" w:line="189" w:lineRule="exact"/>
              <w:rPr>
                <w:sz w:val="20"/>
                <w:szCs w:val="20"/>
                <w:color w:val="auto"/>
              </w:rPr>
            </w:pPr>
            <w:r>
              <w:rPr>
                <w:rFonts w:ascii="Arial" w:cs="Arial" w:eastAsia="Arial" w:hAnsi="Arial"/>
                <w:sz w:val="18"/>
                <w:szCs w:val="18"/>
                <w:color w:val="auto"/>
              </w:rPr>
              <w:t>executive officer and chief financial officer), or</w:t>
            </w:r>
          </w:p>
        </w:tc>
      </w:tr>
      <w:tr>
        <w:trPr>
          <w:trHeight w:val="230"/>
        </w:trPr>
        <w:tc>
          <w:tcPr>
            <w:tcW w:w="5640" w:type="dxa"/>
            <w:vAlign w:val="bottom"/>
          </w:tcPr>
          <w:p>
            <w:pPr>
              <w:spacing w:after="0"/>
              <w:rPr>
                <w:sz w:val="20"/>
                <w:szCs w:val="20"/>
                <w:color w:val="auto"/>
              </w:rPr>
            </w:pPr>
          </w:p>
        </w:tc>
        <w:tc>
          <w:tcPr>
            <w:tcW w:w="5600" w:type="dxa"/>
            <w:vAlign w:val="bottom"/>
          </w:tcPr>
          <w:p>
            <w:pPr>
              <w:ind w:left="660"/>
              <w:spacing w:after="0"/>
              <w:rPr>
                <w:sz w:val="20"/>
                <w:szCs w:val="20"/>
                <w:color w:val="auto"/>
              </w:rPr>
            </w:pPr>
            <w:r>
              <w:rPr>
                <w:rFonts w:ascii="Arial" w:cs="Arial" w:eastAsia="Arial" w:hAnsi="Arial"/>
                <w:sz w:val="18"/>
                <w:szCs w:val="18"/>
                <w:color w:val="auto"/>
              </w:rPr>
              <w:t>•   any other security holder.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181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day after the date of this prospectus.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All remaining shares held by our stockholders not previously eligible for sale, subject to volume limitations applicable to “affiliates” under Rule 144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8890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1440" w:right="3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and all of our directors, executive officers and the holders of substantially all of our Class A common stock and securities convertible into or exchangeable for our Class A common stock outstanding immediately on the completion of this offering, have agreed, or will agree, with the underwriters that, until 180 days after the date of this prospectus, or the restricted period, subject to certain exceptions, we and they will not, without the prior written consent of Morgan Stanley &amp; Co. LLC and KeyBanc Capital Markets Inc.,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capital stock; provided that such restricted period will end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115</w:t>
      </w:r>
    </w:p>
    <w:p>
      <w:pPr>
        <w:sectPr>
          <w:pgSz w:w="11900" w:h="16838" w:orient="portrait"/>
          <w:cols w:equalWidth="0" w:num="1">
            <w:col w:w="11240"/>
          </w:cols>
          <w:pgMar w:left="320" w:top="1440" w:right="339" w:bottom="1440" w:gutter="0" w:footer="0" w:header="0"/>
          <w:type w:val="continuous"/>
        </w:sectPr>
      </w:pPr>
    </w:p>
    <w:bookmarkStart w:id="123" w:name="page124"/>
    <w:bookmarkEnd w:id="123"/>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respect to 25% of the vested shares subject to lock-up agreements of our current or former employees, current directors or officers (excluding our chief executive officer and chief financial officer) and any other security holders on the third trading day immediately following our first public release of earnings if the last reported closing price of our Class A common stock is at least 20% greater than the initial public offering price for (i) 10 out of any 15 consecutive trading days immediately prior to such public release of earnings and (ii) the last trading day immediately prior to the early release date. Morgan Stanley &amp; Co. LLC and KeyBanc Capital Markets Inc. may permit our stockholders who are subject to these lock-up agreements to sell shares prior to the expiration of the lock-up agreements. If not earlier released, all of the shares of Class A common stock will become eligible for sale upon expiration of the 180-day lock-up period, except for any shares held by our affiliates as defined in Rule 144 under the Securities Act. These agreements are described in the section titled “Underwriters.”</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to the restrictions contained in the lock-up agreements described above, we have entered into agreements with all of our executive officers and directors and the holders of substantially all the shares of our Class A common stock and securities convertible into or exchangeable for our Class A common stock outstanding as of immediately prior to the completion of this offering that contain market standoff provisions imposing restrictions on the ability of such security holders to offer, sell or transfer our equity securities for a period of 180 days following the date of this prospectus.</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Upon expiration of the lock-up period, certain of our stockholders will have the right to require us to register their shares under the Securities Act. See the sections titled “—Registration Rights” and “Description of Capital Stock—Registration Rights” for additional information.</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general, once we have been subject to the public company reporting requirements of Section 13 or Section 15(d) of the Exchange Act for at least 90 days, a person who is an affiliate of ours, or who was an affiliate at any time during the 90 days before a sale,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pacing w:after="0" w:line="133" w:lineRule="exact"/>
        <w:rPr>
          <w:sz w:val="20"/>
          <w:szCs w:val="20"/>
          <w:color w:val="auto"/>
        </w:rPr>
      </w:pPr>
    </w:p>
    <w:p>
      <w:pPr>
        <w:ind w:left="66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approximately 330,617 shares immediately after this offering; or</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average weekly trading volume in our Class A common stock on Nasdaq during the four calendar weeks preceding the filing of a notice on Form 144 with respect to such sale.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Securities and Exchange Commission concurrently with either the placing of a sale order with the broker or the execution of a sale directly with a market maker.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general, once we have been subject to the public company reporting requirements of Section 13 or Section 15(d) of the Exchange Act for at least 90 days, a person who is not an affiliate of ours at the time of sale, and has not been an affiliate at any time during the three months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116</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However, substantially all Rule 701 shares are subject to lock-up agreements as described below and will become eligible for sale upon the expiration of the restrictions set forth in those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Class A common stock subject to outstanding stock options and Class A common stock issued or issuable under the 2021 Plan, the 2012 Plan and the ESPP, as applicable.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September 30, 2021, holders of up to 15,613,994 shares of our Class A common stock, which includes all of the shares of Class A common stock issuable upon the automatic conversion of our redeemable convertible preferred stock immediately prior to the completion of this offering (but no issuance of the Series A Preferred Stock Additional Issuance Shares), or their transferees, will be entitled to various rights with respect to the registration of these shares under the Securities Act upon the completion of this offering and the expiration of lock-up agreements. Registration of these shares under the Securities Act would result in these shares becoming fully tradable without restriction under the Securities Act immediately upon the effectiveness of the registration, except for shares purchased by affiliates. See the section titled “Description of Capital Stock—Registration Rights” for additional information. Shares covered by a registration statement will be eligible for sale in the public market upon the expiration or release from the terms of the lock-up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117</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named executive officers for the year ended December 31, 2020, were:</w:t>
      </w:r>
    </w:p>
    <w:p>
      <w:pPr>
        <w:spacing w:after="0" w:line="171"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Tim Chen, our Co-founder, Chief Executive Officer and Chairman of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Lauren StClair, our Chief Financial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Kevin Yuann, our Chief Business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Laura Onopchenko, our former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during the fiscal year ended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Non-Equity</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Incentive Plan</w:t>
            </w:r>
          </w:p>
        </w:tc>
        <w:tc>
          <w:tcPr>
            <w:tcW w:w="14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All Other</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Salary</w:t>
            </w: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Bonus</w:t>
            </w:r>
          </w:p>
        </w:tc>
        <w:tc>
          <w:tcPr>
            <w:tcW w:w="1200" w:type="dxa"/>
            <w:vAlign w:val="bottom"/>
            <w:gridSpan w:val="2"/>
          </w:tcPr>
          <w:p>
            <w:pPr>
              <w:ind w:left="160"/>
              <w:spacing w:after="0"/>
              <w:rPr>
                <w:sz w:val="20"/>
                <w:szCs w:val="20"/>
                <w:color w:val="auto"/>
              </w:rPr>
            </w:pPr>
            <w:r>
              <w:rPr>
                <w:rFonts w:ascii="Arial" w:cs="Arial" w:eastAsia="Arial" w:hAnsi="Arial"/>
                <w:sz w:val="13"/>
                <w:szCs w:val="13"/>
                <w:b w:val="1"/>
                <w:bCs w:val="1"/>
                <w:color w:val="auto"/>
              </w:rPr>
              <w:t>Stock Awards</w:t>
            </w:r>
          </w:p>
        </w:tc>
        <w:tc>
          <w:tcPr>
            <w:tcW w:w="1140" w:type="dxa"/>
            <w:vAlign w:val="bottom"/>
            <w:gridSpan w:val="2"/>
          </w:tcPr>
          <w:p>
            <w:pPr>
              <w:ind w:left="80"/>
              <w:spacing w:after="0"/>
              <w:rPr>
                <w:sz w:val="20"/>
                <w:szCs w:val="20"/>
                <w:color w:val="auto"/>
              </w:rPr>
            </w:pPr>
            <w:r>
              <w:rPr>
                <w:rFonts w:ascii="Arial" w:cs="Arial" w:eastAsia="Arial" w:hAnsi="Arial"/>
                <w:sz w:val="13"/>
                <w:szCs w:val="13"/>
                <w:b w:val="1"/>
                <w:bCs w:val="1"/>
                <w:color w:val="auto"/>
              </w:rPr>
              <w:t>Option Awards</w:t>
            </w:r>
          </w:p>
        </w:tc>
        <w:tc>
          <w:tcPr>
            <w:tcW w:w="14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Compensation</w:t>
            </w: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Compensation</w:t>
            </w:r>
          </w:p>
        </w:tc>
        <w:tc>
          <w:tcPr>
            <w:tcW w:w="1200" w:type="dxa"/>
            <w:vAlign w:val="bottom"/>
          </w:tcPr>
          <w:p>
            <w:pPr>
              <w:jc w:val="right"/>
              <w:ind w:right="41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2"/>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Year</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r>
              <w:rPr>
                <w:rFonts w:ascii="Arial" w:cs="Arial" w:eastAsia="Arial" w:hAnsi="Arial"/>
                <w:sz w:val="17"/>
                <w:szCs w:val="17"/>
                <w:b w:val="1"/>
                <w:bCs w:val="1"/>
                <w:color w:val="auto"/>
                <w:w w:val="87"/>
                <w:vertAlign w:val="superscript"/>
              </w:rPr>
              <w:t>(2)</w:t>
            </w:r>
          </w:p>
        </w:tc>
        <w:tc>
          <w:tcPr>
            <w:tcW w:w="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4"/>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Tim Chen</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Co-founder, Chief</w:t>
            </w: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Executive Officer and</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Chairman of the board</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13,198</w:t>
            </w:r>
            <w:r>
              <w:rPr>
                <w:rFonts w:ascii="Arial" w:cs="Arial" w:eastAsia="Arial" w:hAnsi="Arial"/>
                <w:sz w:val="18"/>
                <w:szCs w:val="18"/>
                <w:color w:val="auto"/>
                <w:vertAlign w:val="superscript"/>
              </w:rPr>
              <w:t>(3)</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6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of directors</w:t>
            </w:r>
          </w:p>
        </w:tc>
        <w:tc>
          <w:tcPr>
            <w:tcW w:w="1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70,390</w:t>
            </w:r>
          </w:p>
        </w:tc>
        <w:tc>
          <w:tcPr>
            <w:tcW w:w="8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533,588</w:t>
            </w:r>
          </w:p>
        </w:tc>
        <w:tc>
          <w:tcPr>
            <w:tcW w:w="0" w:type="dxa"/>
            <w:vAlign w:val="bottom"/>
          </w:tcPr>
          <w:p>
            <w:pPr>
              <w:spacing w:after="0"/>
              <w:rPr>
                <w:sz w:val="1"/>
                <w:szCs w:val="1"/>
                <w:color w:val="auto"/>
              </w:rPr>
            </w:pPr>
          </w:p>
        </w:tc>
      </w:tr>
      <w:tr>
        <w:trPr>
          <w:trHeight w:val="190"/>
        </w:trPr>
        <w:tc>
          <w:tcPr>
            <w:tcW w:w="1660" w:type="dxa"/>
            <w:vAlign w:val="bottom"/>
            <w:gridSpan w:val="2"/>
          </w:tcPr>
          <w:p>
            <w:pPr>
              <w:ind w:left="20"/>
              <w:spacing w:after="0"/>
              <w:rPr>
                <w:sz w:val="20"/>
                <w:szCs w:val="20"/>
                <w:color w:val="auto"/>
              </w:rPr>
            </w:pPr>
            <w:r>
              <w:rPr>
                <w:rFonts w:ascii="Arial" w:cs="Arial" w:eastAsia="Arial" w:hAnsi="Arial"/>
                <w:sz w:val="14"/>
                <w:szCs w:val="14"/>
                <w:color w:val="auto"/>
              </w:rPr>
              <w:t>Lauren StClair</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1660" w:type="dxa"/>
            <w:vAlign w:val="bottom"/>
            <w:gridSpan w:val="2"/>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1020" w:type="dxa"/>
            <w:vAlign w:val="bottom"/>
          </w:tcPr>
          <w:p>
            <w:pPr>
              <w:ind w:left="38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20,833</w:t>
            </w:r>
            <w:r>
              <w:rPr>
                <w:rFonts w:ascii="Arial" w:cs="Arial" w:eastAsia="Arial" w:hAnsi="Arial"/>
                <w:sz w:val="18"/>
                <w:szCs w:val="18"/>
                <w:color w:val="auto"/>
                <w:vertAlign w:val="superscript"/>
              </w:rPr>
              <w:t>(4)</w:t>
            </w:r>
          </w:p>
        </w:tc>
        <w:tc>
          <w:tcPr>
            <w:tcW w:w="100" w:type="dxa"/>
            <w:vAlign w:val="bottom"/>
          </w:tcPr>
          <w:p>
            <w:pPr>
              <w:spacing w:after="0"/>
              <w:rPr>
                <w:sz w:val="24"/>
                <w:szCs w:val="24"/>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2,129,400</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2,146,994</w:t>
            </w:r>
          </w:p>
        </w:tc>
        <w:tc>
          <w:tcPr>
            <w:tcW w:w="10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4,297,956</w:t>
            </w:r>
          </w:p>
        </w:tc>
        <w:tc>
          <w:tcPr>
            <w:tcW w:w="0" w:type="dxa"/>
            <w:vAlign w:val="bottom"/>
          </w:tcPr>
          <w:p>
            <w:pPr>
              <w:spacing w:after="0"/>
              <w:rPr>
                <w:sz w:val="1"/>
                <w:szCs w:val="1"/>
                <w:color w:val="auto"/>
              </w:rPr>
            </w:pPr>
          </w:p>
        </w:tc>
      </w:tr>
      <w:tr>
        <w:trPr>
          <w:trHeight w:val="191"/>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Kevin Yuann</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Chief Business Officer</w:t>
            </w:r>
          </w:p>
        </w:tc>
        <w:tc>
          <w:tcPr>
            <w:tcW w:w="1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398,333</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90,000</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82,133</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57,285</w:t>
            </w:r>
          </w:p>
        </w:tc>
        <w:tc>
          <w:tcPr>
            <w:tcW w:w="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13,939</w:t>
            </w:r>
            <w:r>
              <w:rPr>
                <w:rFonts w:ascii="Arial" w:cs="Arial" w:eastAsia="Arial" w:hAnsi="Arial"/>
                <w:sz w:val="18"/>
                <w:szCs w:val="18"/>
                <w:color w:val="auto"/>
                <w:vertAlign w:val="superscript"/>
              </w:rPr>
              <w:t>(3)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641,690</w:t>
            </w:r>
          </w:p>
        </w:tc>
        <w:tc>
          <w:tcPr>
            <w:tcW w:w="0" w:type="dxa"/>
            <w:vAlign w:val="bottom"/>
          </w:tcPr>
          <w:p>
            <w:pPr>
              <w:spacing w:after="0"/>
              <w:rPr>
                <w:sz w:val="1"/>
                <w:szCs w:val="1"/>
                <w:color w:val="auto"/>
              </w:rPr>
            </w:pPr>
          </w:p>
        </w:tc>
      </w:tr>
      <w:tr>
        <w:trPr>
          <w:trHeight w:val="191"/>
        </w:trPr>
        <w:tc>
          <w:tcPr>
            <w:tcW w:w="1660" w:type="dxa"/>
            <w:vAlign w:val="bottom"/>
            <w:gridSpan w:val="2"/>
          </w:tcPr>
          <w:p>
            <w:pPr>
              <w:ind w:left="20"/>
              <w:spacing w:after="0"/>
              <w:rPr>
                <w:sz w:val="20"/>
                <w:szCs w:val="20"/>
                <w:color w:val="auto"/>
              </w:rPr>
            </w:pPr>
            <w:r>
              <w:rPr>
                <w:rFonts w:ascii="Arial" w:cs="Arial" w:eastAsia="Arial" w:hAnsi="Arial"/>
                <w:sz w:val="14"/>
                <w:szCs w:val="14"/>
                <w:color w:val="auto"/>
              </w:rPr>
              <w:t>Laura Onopchenko</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660" w:type="dxa"/>
            <w:vAlign w:val="bottom"/>
            <w:gridSpan w:val="2"/>
          </w:tcPr>
          <w:p>
            <w:pPr>
              <w:ind w:left="20"/>
              <w:spacing w:after="0"/>
              <w:rPr>
                <w:sz w:val="20"/>
                <w:szCs w:val="20"/>
                <w:color w:val="auto"/>
              </w:rPr>
            </w:pPr>
            <w:r>
              <w:rPr>
                <w:rFonts w:ascii="Arial" w:cs="Arial" w:eastAsia="Arial" w:hAnsi="Arial"/>
                <w:sz w:val="14"/>
                <w:szCs w:val="14"/>
                <w:i w:val="1"/>
                <w:iCs w:val="1"/>
                <w:color w:val="auto"/>
              </w:rPr>
              <w:t>Former Chief Financial</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126,894</w:t>
            </w:r>
            <w:r>
              <w:rPr>
                <w:rFonts w:ascii="Arial" w:cs="Arial" w:eastAsia="Arial" w:hAnsi="Arial"/>
                <w:sz w:val="18"/>
                <w:szCs w:val="18"/>
                <w:color w:val="auto"/>
                <w:vertAlign w:val="superscript"/>
              </w:rPr>
              <w:t>(5)</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263,215</w:t>
            </w:r>
            <w:r>
              <w:rPr>
                <w:rFonts w:ascii="Arial" w:cs="Arial" w:eastAsia="Arial" w:hAnsi="Arial"/>
                <w:sz w:val="18"/>
                <w:szCs w:val="18"/>
                <w:color w:val="auto"/>
                <w:vertAlign w:val="superscript"/>
              </w:rPr>
              <w:t>(6)</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986,599</w:t>
            </w:r>
            <w:r>
              <w:rPr>
                <w:rFonts w:ascii="Arial" w:cs="Arial" w:eastAsia="Arial" w:hAnsi="Arial"/>
                <w:sz w:val="18"/>
                <w:szCs w:val="18"/>
                <w:color w:val="auto"/>
                <w:vertAlign w:val="superscript"/>
              </w:rPr>
              <w:t>(7)</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660" w:type="dxa"/>
            <w:vAlign w:val="bottom"/>
            <w:gridSpan w:val="2"/>
          </w:tcPr>
          <w:p>
            <w:pPr>
              <w:ind w:left="180"/>
              <w:spacing w:after="0"/>
              <w:rPr>
                <w:sz w:val="20"/>
                <w:szCs w:val="20"/>
                <w:color w:val="auto"/>
              </w:rPr>
            </w:pPr>
            <w:r>
              <w:rPr>
                <w:rFonts w:ascii="Arial" w:cs="Arial" w:eastAsia="Arial" w:hAnsi="Arial"/>
                <w:sz w:val="14"/>
                <w:szCs w:val="14"/>
                <w:i w:val="1"/>
                <w:iCs w:val="1"/>
                <w:color w:val="auto"/>
              </w:rPr>
              <w:t>Officer</w:t>
            </w:r>
          </w:p>
        </w:tc>
        <w:tc>
          <w:tcPr>
            <w:tcW w:w="1020" w:type="dxa"/>
            <w:vAlign w:val="bottom"/>
          </w:tcPr>
          <w:p>
            <w:pPr>
              <w:ind w:left="38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1,376,708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w:t>
      </w:r>
    </w:p>
    <w:p>
      <w:pPr>
        <w:spacing w:after="0" w:line="1" w:lineRule="exact"/>
        <w:rPr>
          <w:sz w:val="20"/>
          <w:szCs w:val="20"/>
          <w:color w:val="auto"/>
        </w:rPr>
      </w:pPr>
    </w:p>
    <w:p>
      <w:pPr>
        <w:jc w:val="both"/>
        <w:ind w:left="340" w:hanging="332"/>
        <w:spacing w:after="0" w:line="260" w:lineRule="auto"/>
        <w:tabs>
          <w:tab w:leader="none" w:pos="332"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amount disclosed represent the aggregate grant date fair value of stock awards and stock options granted to our named executive officers during 2020 under the 2012 Plan, computed in accordance with ASC Topic 718. The assumptions used in calculating the grant date fair value of the stock awards and stock options are set forth in the notes to our audited consolidated financial statements included elsewhere in this prospectus. This amount does not reflect the actual economic value that may be realized by the named executive officer.</w:t>
      </w:r>
    </w:p>
    <w:p>
      <w:pPr>
        <w:ind w:left="320" w:hanging="312"/>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Amounts reflect payouts under the Company's MTL Incentive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401(k) matching contributions of $11,400.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December 2020, Ms. StClair began serving as our Chief Financial Officer and was paid prorated salary amounts based on an annual salary of $500,000.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From January 2020 through March 2020, Ms. Onopchenko served as our Chief Financial Officer and was paid prorated salary amounts based on an annual salary of $500,000.</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Reflects incremental fair value recognized as a result of the extension of exercisability of certain of Ms. Onopchenko’s options and the modification of certain other of Ms. Onopchenko’s options, all in connection with her separation.</w:t>
      </w:r>
    </w:p>
    <w:p>
      <w:pPr>
        <w:ind w:left="340" w:hanging="332"/>
        <w:spacing w:after="0" w:line="255" w:lineRule="auto"/>
        <w:tabs>
          <w:tab w:leader="none" w:pos="332"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(i) in connection with her negotiated separation agreement, (w) a $250,000 cash severance payment, (x) COBRA payment of $10,868, (y) an option cancellation payment of $520,259, and (z) payment of a cash bonus of $200,000 related to our MTL Incentive Program and (ii) 401(k) matching contributions of $5,082.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Explanation to the Summary Compensation Table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their base salaries, for the year ended December 31, 2020, each of our named executive officers other than Ms. StClair was eligible to earn cash and equity awards pursuant to our MTL Incentive Program. The MTL Incentive Program was implemented in 2018 and provided for payouts at the conclusion of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118</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 ending in 2020 based on achievement of certain corporate milestones. Our board of directors awarded cash payouts to each of Messrs. Chen and Yuann pursuant to the program and, in connection with her separation from service, Ms. Onopchenko, as disclosed in the Summary Compensation Table above.</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December 16, 2020, our board of directors granted Ms. StClair an option to purchase 315,000 shares of our Class A common stock pursuant to her letter agreement with us. Such option vests over four years of continuous service provided by her, with 25% vesting after completion of one year of continuous service and 1/48th vesting after completion of each month of continuous service thereafter. On December 16, 2020, our board of directors granted Ms. StClair 157,500 RSUs, which vest as described below under “Outstanding Equity Awards at December 31, 2020.” Such awards vest on an accelerated basis under certain circumstances as described below under “Potential Payments upon Termination or Change in Control.”</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18, 2020, our board of directors granted Mr. Yuann an option to purchase 15,000 shares of our Class A common stock. Such option vests in monthly installments over four years of continuous service provided by him. On March 18, 2020, our board of directors granted Mr. Yuann 7,500 RSUs, which vest as described below under “Outstanding Equity Awards at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Set forth below are descriptions of our employment agreements with our named executive officers. For a discussion of the severance pay and other benefits to be provided in connection with a termination of employment and/or a change in control under the arrangements with our named executive officers, see “—Potential Payments upon Termination or Change in Control.”</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Tim Chen</w:t>
      </w:r>
      <w:r>
        <w:rPr>
          <w:rFonts w:ascii="Arial" w:cs="Arial" w:eastAsia="Arial" w:hAnsi="Arial"/>
          <w:sz w:val="18"/>
          <w:szCs w:val="18"/>
          <w:color w:val="auto"/>
        </w:rPr>
        <w:t>. On June 25, 2021, we entered into a continuing employment letter agreement with Mr. Chen. Under the terms of the letter agreement, Mr.</w:t>
      </w:r>
      <w:r>
        <w:rPr>
          <w:rFonts w:ascii="Arial" w:cs="Arial" w:eastAsia="Arial" w:hAnsi="Arial"/>
          <w:sz w:val="18"/>
          <w:szCs w:val="18"/>
          <w:i w:val="1"/>
          <w:iCs w:val="1"/>
          <w:color w:val="auto"/>
        </w:rPr>
        <w:t xml:space="preserve"> </w:t>
      </w:r>
      <w:r>
        <w:rPr>
          <w:rFonts w:ascii="Arial" w:cs="Arial" w:eastAsia="Arial" w:hAnsi="Arial"/>
          <w:sz w:val="18"/>
          <w:szCs w:val="18"/>
          <w:color w:val="auto"/>
        </w:rPr>
        <w:t>Chen is entitled to an annual base salary of $600,000, effective as of July 1, 2021. Mr. Chen is also eligible to participate in the employee benefit plans generally available to our employees.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Lauren StClair. </w:t>
      </w:r>
      <w:r>
        <w:rPr>
          <w:rFonts w:ascii="Arial" w:cs="Arial" w:eastAsia="Arial" w:hAnsi="Arial"/>
          <w:sz w:val="18"/>
          <w:szCs w:val="18"/>
          <w:color w:val="auto"/>
        </w:rPr>
        <w:t>On November 24, 2020, we entered into an offer letter with Ms. StClair. Under the terms of her offer letter Ms. StClair is entitled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base salary of $500,000, an option to purchase 315,000 shares of the Company's Class A common stock and a grant of 157,500 RSUs. Ms. StClair is also eligible to participate in the employee benefit plans generally available to our employees.</w:t>
      </w:r>
    </w:p>
    <w:p>
      <w:pPr>
        <w:spacing w:after="0" w:line="13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Kevin Yuann. </w:t>
      </w:r>
      <w:r>
        <w:rPr>
          <w:rFonts w:ascii="Arial" w:cs="Arial" w:eastAsia="Arial" w:hAnsi="Arial"/>
          <w:sz w:val="16"/>
          <w:szCs w:val="16"/>
          <w:color w:val="auto"/>
        </w:rPr>
        <w:t>In June 2014, we entered into an offer letter with Mr. Yuann. Under its terms, Mr. Yuann is entitled to an annual base salary as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Board from time to time. Mr. Yuann is also eligible to participate in the employee benefit plans generally available to our employees.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Laura Onopchenko. </w:t>
      </w:r>
      <w:r>
        <w:rPr>
          <w:rFonts w:ascii="Arial" w:cs="Arial" w:eastAsia="Arial" w:hAnsi="Arial"/>
          <w:sz w:val="18"/>
          <w:szCs w:val="18"/>
          <w:color w:val="auto"/>
        </w:rPr>
        <w:t>On April 3, 2020, we entered into a separation agreement with Ms. Onopchenko. Under the separation agreement, in exchange for</w:t>
      </w:r>
      <w:r>
        <w:rPr>
          <w:rFonts w:ascii="Arial" w:cs="Arial" w:eastAsia="Arial" w:hAnsi="Arial"/>
          <w:sz w:val="18"/>
          <w:szCs w:val="18"/>
          <w:i w:val="1"/>
          <w:iCs w:val="1"/>
          <w:color w:val="auto"/>
        </w:rPr>
        <w:t xml:space="preserve"> </w:t>
      </w:r>
      <w:r>
        <w:rPr>
          <w:rFonts w:ascii="Arial" w:cs="Arial" w:eastAsia="Arial" w:hAnsi="Arial"/>
          <w:sz w:val="18"/>
          <w:szCs w:val="18"/>
          <w:color w:val="auto"/>
        </w:rPr>
        <w:t>a release of claims against the company, Ms. Onopchenko received (i) cash severance of $250,000, payable in installments in accordance with the Company’s payroll (ii) payment of health care premiums under COBRA for a period ending not later than October 31, 2020, (iii) payment of $200,000 under the MTL Cash Incentive Plan, (iii) acceleration and cancellation of an option to purchase 91,595 shares of Class A common stock for aggregate consideration of $520,259 and (iv) an extension of the post-termination exercise period for vested options to purchase 292,856 shares of Class A common stock until April 1,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Pursuant to our change of control and severance policy, which became effective as of June 16, 2021, each of Messrs. Chen and Yuann and Ms. StClair are eligible for the benefits described in this paragraph (which such benefits specifically supersede any prior agreements relating to such benefits). The policy has a term of three years, subject to automatic renewal unless terminated by the Company at least three months prior to the date on which the policy would otherwise renew. In the event of a termination without cause or resignation for good reason, each such officer, contingent on execution of a general release of claims against us, will be entitled to (i) a lump sum payment equal to (A) the amount of base salary that would have been earned during the severance period (at the rate in effect immediately prior to such termination prior to any reduction that triggered a resignation for good reason), plus</w:t>
      </w:r>
    </w:p>
    <w:p>
      <w:pPr>
        <w:spacing w:after="0" w:line="4" w:lineRule="exact"/>
        <w:rPr>
          <w:sz w:val="20"/>
          <w:szCs w:val="20"/>
          <w:color w:val="auto"/>
        </w:rPr>
      </w:pPr>
    </w:p>
    <w:p>
      <w:pPr>
        <w:ind w:left="300" w:hanging="292"/>
        <w:spacing w:after="0"/>
        <w:tabs>
          <w:tab w:leader="none" w:pos="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 of a target bonus, if applicable, assuming the bonus would have been earned at 100% of target,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b w:val="1"/>
          <w:bCs w:val="1"/>
          <w:color w:val="auto"/>
        </w:rPr>
        <w:t>119</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prorated based on the number of calendar months completed in the performance period in which the termination occurs and (ii) to the extent the officer timely elects to receive continued coverage under our group healthcare plans, payment of, or reimbursement for, such coverage under COBRA, for up to the length of the severance period. The severance period will be six months; provided, however, that if such termination without cause or resignation for good reason occurs during the period beginning 3 months prior to, and ending on the date that is 12 months following, our change in control (a Change in Control Termination), then the severance period will be 12 months. In addition, in the event of a Change in Control Termination, (x) the bonus payment will not be prorated but instead will reflect the full target bonus and (y) each of the officer’s outstanding equity awards (excluding performance-based awards) will vest as if the officer had completed an additional 12 months of continuous service beyond the termination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for the fiscal year ended December 31, 2020, certain information regarding outstanding equity awards at fiscal year-end for the Named Executive Officers.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5"/>
              </w:rPr>
              <w:t>Option Awards</w:t>
            </w:r>
            <w:r>
              <w:rPr>
                <w:rFonts w:ascii="Arial" w:cs="Arial" w:eastAsia="Arial" w:hAnsi="Arial"/>
                <w:sz w:val="15"/>
                <w:szCs w:val="15"/>
                <w:b w:val="1"/>
                <w:bCs w:val="1"/>
                <w:color w:val="auto"/>
                <w:w w:val="85"/>
                <w:vertAlign w:val="superscript"/>
              </w:rPr>
              <w:t>(1)(2)</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560"/>
              <w:spacing w:after="0"/>
              <w:rPr>
                <w:sz w:val="20"/>
                <w:szCs w:val="20"/>
                <w:color w:val="auto"/>
              </w:rPr>
            </w:pPr>
            <w:r>
              <w:rPr>
                <w:rFonts w:ascii="Arial" w:cs="Arial" w:eastAsia="Arial" w:hAnsi="Arial"/>
                <w:sz w:val="12"/>
                <w:szCs w:val="12"/>
                <w:b w:val="1"/>
                <w:bCs w:val="1"/>
                <w:color w:val="auto"/>
              </w:rPr>
              <w:t>Stock Awards</w:t>
            </w:r>
            <w:r>
              <w:rPr>
                <w:rFonts w:ascii="Arial" w:cs="Arial" w:eastAsia="Arial" w:hAnsi="Arial"/>
                <w:sz w:val="15"/>
                <w:szCs w:val="15"/>
                <w:b w:val="1"/>
                <w:bCs w:val="1"/>
                <w:color w:val="auto"/>
                <w:vertAlign w:val="superscript"/>
              </w:rPr>
              <w:t>(1)</w:t>
            </w:r>
          </w:p>
        </w:tc>
        <w:tc>
          <w:tcPr>
            <w:tcW w:w="900" w:type="dxa"/>
            <w:vAlign w:val="bottom"/>
            <w:tcBorders>
              <w:bottom w:val="single" w:sz="8" w:color="auto"/>
            </w:tcBorders>
          </w:tcPr>
          <w:p>
            <w:pPr>
              <w:spacing w:after="0"/>
              <w:rPr>
                <w:sz w:val="14"/>
                <w:szCs w:val="14"/>
                <w:color w:val="auto"/>
              </w:rPr>
            </w:pPr>
          </w:p>
        </w:tc>
      </w:tr>
      <w:tr>
        <w:trPr>
          <w:trHeight w:val="128"/>
        </w:trPr>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Equity Incentive</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Equity Incentive</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2"/>
              </w:rPr>
              <w:t>Equity Incentive</w:t>
            </w:r>
          </w:p>
        </w:tc>
      </w:tr>
      <w:tr>
        <w:trPr>
          <w:trHeight w:val="121"/>
        </w:trPr>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Plan Awards:</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Plan Awards:</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Plan Awards:</w:t>
            </w:r>
          </w:p>
        </w:tc>
      </w:tr>
      <w:tr>
        <w:trPr>
          <w:trHeight w:val="122"/>
        </w:trPr>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3"/>
              </w:rPr>
              <w:t>Securities</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Market or Payout</w:t>
            </w:r>
          </w:p>
        </w:tc>
      </w:tr>
      <w:tr>
        <w:trPr>
          <w:trHeight w:val="122"/>
        </w:trPr>
        <w:tc>
          <w:tcPr>
            <w:tcW w:w="1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Underlying</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Securities</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Number of Shares</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Market Value of</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Unearned Shares,</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of Unearned</w:t>
            </w:r>
          </w:p>
        </w:tc>
      </w:tr>
      <w:tr>
        <w:trPr>
          <w:trHeight w:val="122"/>
        </w:trPr>
        <w:tc>
          <w:tcPr>
            <w:tcW w:w="134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5"/>
              </w:rPr>
              <w:t>Vesting</w:t>
            </w: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00" w:type="dxa"/>
            <w:vAlign w:val="bottom"/>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Underlying</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or Units of Stock</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Shares or Units of</w:t>
            </w:r>
          </w:p>
        </w:tc>
        <w:tc>
          <w:tcPr>
            <w:tcW w:w="10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Units or Other</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Shares, Units or</w:t>
            </w:r>
          </w:p>
        </w:tc>
      </w:tr>
      <w:tr>
        <w:trPr>
          <w:trHeight w:val="121"/>
        </w:trPr>
        <w:tc>
          <w:tcPr>
            <w:tcW w:w="134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Commencement</w:t>
            </w: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Options</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Options</w:t>
            </w:r>
          </w:p>
        </w:tc>
        <w:tc>
          <w:tcPr>
            <w:tcW w:w="100" w:type="dxa"/>
            <w:vAlign w:val="bottom"/>
          </w:tcPr>
          <w:p>
            <w:pPr>
              <w:spacing w:after="0"/>
              <w:rPr>
                <w:sz w:val="10"/>
                <w:szCs w:val="10"/>
                <w:color w:val="auto"/>
              </w:rPr>
            </w:pP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Option Exercise</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That Have Not</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Stock That Have</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Rights That Have</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Other Rights That</w:t>
            </w:r>
          </w:p>
        </w:tc>
      </w:tr>
      <w:tr>
        <w:trPr>
          <w:trHeight w:val="122"/>
        </w:trPr>
        <w:tc>
          <w:tcPr>
            <w:tcW w:w="1340" w:type="dxa"/>
            <w:vAlign w:val="bottom"/>
          </w:tcPr>
          <w:p>
            <w:pPr>
              <w:spacing w:after="0"/>
              <w:rPr>
                <w:sz w:val="10"/>
                <w:szCs w:val="10"/>
                <w:color w:val="auto"/>
              </w:rPr>
            </w:pPr>
          </w:p>
        </w:tc>
        <w:tc>
          <w:tcPr>
            <w:tcW w:w="10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Date</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Unearned Options</w:t>
            </w:r>
          </w:p>
        </w:tc>
        <w:tc>
          <w:tcPr>
            <w:tcW w:w="10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Price</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Option Expiration</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3"/>
              </w:rPr>
              <w:t>Vested</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Not Vested</w:t>
            </w: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Not Vested</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Have Not Vested</w:t>
            </w:r>
          </w:p>
        </w:tc>
      </w:tr>
      <w:tr>
        <w:trPr>
          <w:trHeight w:val="122"/>
        </w:trPr>
        <w:tc>
          <w:tcPr>
            <w:tcW w:w="134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3"/>
              </w:rPr>
              <w:t>Vested</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Unvested</w:t>
            </w:r>
          </w:p>
        </w:tc>
        <w:tc>
          <w:tcPr>
            <w:tcW w:w="1000" w:type="dxa"/>
            <w:vAlign w:val="bottom"/>
            <w:gridSpan w:val="2"/>
          </w:tcPr>
          <w:p>
            <w:pPr>
              <w:jc w:val="center"/>
              <w:ind w:left="64"/>
              <w:spacing w:after="0" w:line="122" w:lineRule="exact"/>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Date</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900" w:type="dxa"/>
            <w:vAlign w:val="bottom"/>
          </w:tcPr>
          <w:p>
            <w:pPr>
              <w:jc w:val="right"/>
              <w:ind w:right="323"/>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r>
      <w:tr>
        <w:trPr>
          <w:trHeight w:val="140"/>
        </w:trPr>
        <w:tc>
          <w:tcPr>
            <w:tcW w:w="1340" w:type="dxa"/>
            <w:vAlign w:val="bottom"/>
          </w:tcPr>
          <w:p>
            <w:pPr>
              <w:ind w:left="20"/>
              <w:spacing w:after="0"/>
              <w:rPr>
                <w:sz w:val="20"/>
                <w:szCs w:val="20"/>
                <w:color w:val="auto"/>
              </w:rPr>
            </w:pPr>
            <w:r>
              <w:rPr>
                <w:rFonts w:ascii="Arial" w:cs="Arial" w:eastAsia="Arial" w:hAnsi="Arial"/>
                <w:sz w:val="11"/>
                <w:szCs w:val="11"/>
                <w:b w:val="1"/>
                <w:bCs w:val="1"/>
                <w:color w:val="auto"/>
              </w:rPr>
              <w:t>Name (a)</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(b)</w:t>
            </w: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(c)</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9"/>
              </w:rPr>
              <w:t>(d)</w:t>
            </w:r>
          </w:p>
        </w:tc>
        <w:tc>
          <w:tcPr>
            <w:tcW w:w="100" w:type="dxa"/>
            <w:vAlign w:val="bottom"/>
          </w:tcPr>
          <w:p>
            <w:pPr>
              <w:spacing w:after="0"/>
              <w:rPr>
                <w:sz w:val="12"/>
                <w:szCs w:val="12"/>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(e)</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(f)</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(g)</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(h)</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(i)(3)</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(j)</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rPr>
              <w:t>(k)</w:t>
            </w:r>
          </w:p>
        </w:tc>
      </w:tr>
      <w:tr>
        <w:trPr>
          <w:trHeight w:val="22"/>
        </w:trPr>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6"/>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Tim Chen</w:t>
            </w: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3"/>
                <w:szCs w:val="13"/>
                <w:color w:val="auto"/>
              </w:rPr>
              <w:t>—</w:t>
            </w:r>
          </w:p>
        </w:tc>
      </w:tr>
      <w:tr>
        <w:trPr>
          <w:trHeight w:val="203"/>
        </w:trPr>
        <w:tc>
          <w:tcPr>
            <w:tcW w:w="1340" w:type="dxa"/>
            <w:vAlign w:val="bottom"/>
          </w:tcPr>
          <w:p>
            <w:pPr>
              <w:ind w:left="20"/>
              <w:spacing w:after="0"/>
              <w:rPr>
                <w:sz w:val="20"/>
                <w:szCs w:val="20"/>
                <w:color w:val="auto"/>
              </w:rPr>
            </w:pPr>
            <w:r>
              <w:rPr>
                <w:rFonts w:ascii="Arial" w:cs="Arial" w:eastAsia="Arial" w:hAnsi="Arial"/>
                <w:sz w:val="13"/>
                <w:szCs w:val="13"/>
                <w:color w:val="auto"/>
              </w:rPr>
              <w:t>Lauren StClair</w:t>
            </w:r>
          </w:p>
        </w:tc>
        <w:tc>
          <w:tcPr>
            <w:tcW w:w="900" w:type="dxa"/>
            <w:vAlign w:val="bottom"/>
          </w:tcPr>
          <w:p>
            <w:pPr>
              <w:jc w:val="right"/>
              <w:spacing w:after="0"/>
              <w:rPr>
                <w:sz w:val="20"/>
                <w:szCs w:val="20"/>
                <w:color w:val="auto"/>
              </w:rPr>
            </w:pPr>
            <w:r>
              <w:rPr>
                <w:rFonts w:ascii="Arial" w:cs="Arial" w:eastAsia="Arial" w:hAnsi="Arial"/>
                <w:sz w:val="13"/>
                <w:szCs w:val="13"/>
                <w:color w:val="auto"/>
              </w:rPr>
              <w:t>12/16/2020</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315,000</w:t>
            </w:r>
            <w:r>
              <w:rPr>
                <w:rFonts w:ascii="Arial" w:cs="Arial" w:eastAsia="Arial" w:hAnsi="Arial"/>
                <w:sz w:val="16"/>
                <w:szCs w:val="16"/>
                <w:color w:val="auto"/>
                <w:vertAlign w:val="superscript"/>
              </w:rPr>
              <w:t>(4)</w:t>
            </w:r>
          </w:p>
        </w:tc>
        <w:tc>
          <w:tcPr>
            <w:tcW w:w="100" w:type="dxa"/>
            <w:vAlign w:val="bottom"/>
          </w:tcPr>
          <w:p>
            <w:pPr>
              <w:spacing w:after="0"/>
              <w:rPr>
                <w:sz w:val="17"/>
                <w:szCs w:val="17"/>
                <w:color w:val="auto"/>
              </w:rPr>
            </w:pPr>
          </w:p>
        </w:tc>
        <w:tc>
          <w:tcPr>
            <w:tcW w:w="10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13.52</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12/15/2030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157,500</w:t>
            </w:r>
            <w:r>
              <w:rPr>
                <w:rFonts w:ascii="Arial" w:cs="Arial" w:eastAsia="Arial" w:hAnsi="Arial"/>
                <w:sz w:val="16"/>
                <w:szCs w:val="16"/>
                <w:color w:val="auto"/>
                <w:vertAlign w:val="superscript"/>
              </w:rPr>
              <w:t>(5)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2,205,000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t>
            </w:r>
          </w:p>
        </w:tc>
      </w:tr>
      <w:tr>
        <w:trPr>
          <w:trHeight w:val="203"/>
        </w:trPr>
        <w:tc>
          <w:tcPr>
            <w:tcW w:w="1340" w:type="dxa"/>
            <w:vAlign w:val="bottom"/>
          </w:tcPr>
          <w:p>
            <w:pPr>
              <w:ind w:left="20"/>
              <w:spacing w:after="0"/>
              <w:rPr>
                <w:sz w:val="20"/>
                <w:szCs w:val="20"/>
                <w:color w:val="auto"/>
              </w:rPr>
            </w:pPr>
            <w:r>
              <w:rPr>
                <w:rFonts w:ascii="Arial" w:cs="Arial" w:eastAsia="Arial" w:hAnsi="Arial"/>
                <w:sz w:val="13"/>
                <w:szCs w:val="13"/>
                <w:color w:val="auto"/>
              </w:rPr>
              <w:t>Kevin Yuann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18,750</w:t>
            </w:r>
            <w:r>
              <w:rPr>
                <w:rFonts w:ascii="Arial" w:cs="Arial" w:eastAsia="Arial" w:hAnsi="Arial"/>
                <w:sz w:val="16"/>
                <w:szCs w:val="16"/>
                <w:color w:val="auto"/>
                <w:vertAlign w:val="superscript"/>
              </w:rPr>
              <w:t>(6)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9/28/2025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24,375</w:t>
            </w:r>
            <w:r>
              <w:rPr>
                <w:rFonts w:ascii="Arial" w:cs="Arial" w:eastAsia="Arial" w:hAnsi="Arial"/>
                <w:sz w:val="16"/>
                <w:szCs w:val="16"/>
                <w:color w:val="auto"/>
                <w:vertAlign w:val="superscript"/>
              </w:rPr>
              <w:t>(6)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5/7/2026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16,895</w:t>
            </w:r>
            <w:r>
              <w:rPr>
                <w:rFonts w:ascii="Arial" w:cs="Arial" w:eastAsia="Arial" w:hAnsi="Arial"/>
                <w:sz w:val="16"/>
                <w:szCs w:val="16"/>
                <w:color w:val="auto"/>
                <w:vertAlign w:val="superscript"/>
              </w:rPr>
              <w:t>(6)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9/13/2026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5/1/2017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22,397</w:t>
            </w:r>
            <w:r>
              <w:rPr>
                <w:rFonts w:ascii="Arial" w:cs="Arial" w:eastAsia="Arial" w:hAnsi="Arial"/>
                <w:sz w:val="16"/>
                <w:szCs w:val="16"/>
                <w:color w:val="auto"/>
                <w:vertAlign w:val="superscript"/>
              </w:rPr>
              <w:t>(4)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2,603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5/1/2027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9/1/2018</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 xml:space="preserve">17,579 </w:t>
            </w:r>
            <w:r>
              <w:rPr>
                <w:rFonts w:ascii="Arial" w:cs="Arial" w:eastAsia="Arial" w:hAnsi="Arial"/>
                <w:sz w:val="16"/>
                <w:szCs w:val="16"/>
                <w:color w:val="auto"/>
                <w:vertAlign w:val="superscript"/>
              </w:rPr>
              <w:t>(7)</w:t>
            </w:r>
          </w:p>
        </w:tc>
        <w:tc>
          <w:tcPr>
            <w:tcW w:w="10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3"/>
                <w:szCs w:val="13"/>
                <w:color w:val="auto"/>
              </w:rPr>
              <w:t>13,671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7.42</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10/24/2028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9/1/2019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11,719</w:t>
            </w:r>
            <w:r>
              <w:rPr>
                <w:rFonts w:ascii="Arial" w:cs="Arial" w:eastAsia="Arial" w:hAnsi="Arial"/>
                <w:sz w:val="16"/>
                <w:szCs w:val="16"/>
                <w:color w:val="auto"/>
                <w:vertAlign w:val="superscript"/>
              </w:rPr>
              <w:t>(7)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25,780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9/24/2029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1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3/1/2020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2,817</w:t>
            </w:r>
            <w:r>
              <w:rPr>
                <w:rFonts w:ascii="Arial" w:cs="Arial" w:eastAsia="Arial" w:hAnsi="Arial"/>
                <w:sz w:val="16"/>
                <w:szCs w:val="16"/>
                <w:color w:val="auto"/>
                <w:vertAlign w:val="superscript"/>
              </w:rPr>
              <w:t>(7)</w:t>
            </w:r>
          </w:p>
        </w:tc>
        <w:tc>
          <w:tcPr>
            <w:tcW w:w="10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3"/>
                <w:szCs w:val="13"/>
                <w:color w:val="auto"/>
              </w:rPr>
              <w:t>12,183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12.00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3/17/2030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6,094</w:t>
            </w:r>
            <w:r>
              <w:rPr>
                <w:rFonts w:ascii="Arial" w:cs="Arial" w:eastAsia="Arial" w:hAnsi="Arial"/>
                <w:sz w:val="16"/>
                <w:szCs w:val="16"/>
                <w:color w:val="auto"/>
                <w:vertAlign w:val="superscript"/>
              </w:rPr>
              <w:t>(8)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85,309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8"/>
        </w:trPr>
        <w:tc>
          <w:tcPr>
            <w:tcW w:w="1340" w:type="dxa"/>
            <w:vAlign w:val="bottom"/>
          </w:tcPr>
          <w:p>
            <w:pPr>
              <w:ind w:left="20"/>
              <w:spacing w:after="0"/>
              <w:rPr>
                <w:sz w:val="20"/>
                <w:szCs w:val="20"/>
                <w:color w:val="auto"/>
              </w:rPr>
            </w:pPr>
            <w:r>
              <w:rPr>
                <w:rFonts w:ascii="Arial" w:cs="Arial" w:eastAsia="Arial" w:hAnsi="Arial"/>
                <w:sz w:val="13"/>
                <w:szCs w:val="13"/>
                <w:color w:val="auto"/>
              </w:rPr>
              <w:t>Laura Onopchenko</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292,856</w:t>
            </w:r>
            <w:r>
              <w:rPr>
                <w:rFonts w:ascii="Arial" w:cs="Arial" w:eastAsia="Arial" w:hAnsi="Arial"/>
                <w:sz w:val="16"/>
                <w:szCs w:val="16"/>
                <w:color w:val="auto"/>
                <w:vertAlign w:val="superscript"/>
              </w:rPr>
              <w:t>(6)</w:t>
            </w:r>
          </w:p>
        </w:tc>
        <w:tc>
          <w:tcPr>
            <w:tcW w:w="100" w:type="dxa"/>
            <w:vAlign w:val="bottom"/>
          </w:tcPr>
          <w:p>
            <w:pPr>
              <w:spacing w:after="0"/>
              <w:rPr>
                <w:sz w:val="16"/>
                <w:szCs w:val="16"/>
                <w:color w:val="auto"/>
              </w:rPr>
            </w:pPr>
          </w:p>
        </w:tc>
        <w:tc>
          <w:tcPr>
            <w:tcW w:w="900" w:type="dxa"/>
            <w:vAlign w:val="bottom"/>
          </w:tcPr>
          <w:p>
            <w:pPr>
              <w:jc w:val="right"/>
              <w:ind w:right="2"/>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5.34</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4/1/2022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4"/>
        </w:trPr>
        <w:tc>
          <w:tcPr>
            <w:tcW w:w="1340" w:type="dxa"/>
            <w:vAlign w:val="bottom"/>
          </w:tcPr>
          <w:p>
            <w:pPr>
              <w:spacing w:after="0"/>
              <w:rPr>
                <w:sz w:val="20"/>
                <w:szCs w:val="20"/>
                <w:color w:val="auto"/>
              </w:rPr>
            </w:pPr>
            <w:r>
              <w:rPr>
                <w:rFonts w:ascii="Arial" w:cs="Arial" w:eastAsia="Arial" w:hAnsi="Arial"/>
                <w:sz w:val="18"/>
                <w:szCs w:val="18"/>
                <w:color w:val="auto"/>
              </w:rPr>
              <w:t>____________</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All of the outstanding stock option and stock awards were granted under the 2012 Plan and are for shares of Class A common stock.</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76"/>
        </w:numPr>
        <w:rPr>
          <w:rFonts w:ascii="Arial" w:cs="Arial" w:eastAsia="Arial" w:hAnsi="Arial"/>
          <w:sz w:val="14"/>
          <w:szCs w:val="14"/>
          <w:color w:val="auto"/>
        </w:rPr>
      </w:pPr>
      <w:r>
        <w:rPr>
          <w:rFonts w:ascii="Arial" w:cs="Arial" w:eastAsia="Arial" w:hAnsi="Arial"/>
          <w:sz w:val="14"/>
          <w:szCs w:val="14"/>
          <w:color w:val="auto"/>
        </w:rPr>
        <w:t>Our stock options are immediately exercisable for all of the option shares, subject to our right to repurchase any then-unvested shares in connection with the termination of service of the holder of such shares.</w:t>
      </w:r>
    </w:p>
    <w:p>
      <w:pPr>
        <w:ind w:left="340" w:hanging="332"/>
        <w:spacing w:after="0" w:line="241" w:lineRule="auto"/>
        <w:tabs>
          <w:tab w:leader="none" w:pos="332"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Reflects the fair market value of our Class A common stock of $14.00 as of December 31, 2020 (the determination of the fair market value by our board of directors as of the most proximate date) multiplied by the amount shown in the column for the number of shares or units that have not vested.</w:t>
      </w:r>
    </w:p>
    <w:p>
      <w:pPr>
        <w:ind w:left="340" w:right="20" w:hanging="332"/>
        <w:spacing w:after="0" w:line="241" w:lineRule="auto"/>
        <w:tabs>
          <w:tab w:leader="none" w:pos="332"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option vests as to 25% of the shares subject to the option on the first anniversary of the vesting commencement date, and as to 1/48th of the shares following the completion of each of an additional 36 months thereafter, subject to the executive’s continued service with us on each applicable vesting date.</w:t>
      </w: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RSUs vest, subject to Ms. StClair’s continued service with us, on the following schedule:</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76"/>
        </w:numPr>
        <w:rPr>
          <w:rFonts w:ascii="Arial" w:cs="Arial" w:eastAsia="Arial" w:hAnsi="Arial"/>
          <w:sz w:val="14"/>
          <w:szCs w:val="14"/>
          <w:color w:val="auto"/>
        </w:rPr>
      </w:pPr>
      <w:r>
        <w:rPr>
          <w:rFonts w:ascii="Arial" w:cs="Arial" w:eastAsia="Arial" w:hAnsi="Arial"/>
          <w:sz w:val="14"/>
          <w:szCs w:val="14"/>
          <w:color w:val="auto"/>
        </w:rPr>
        <w:t>1st through 4th Quarterly Installment Date: No Vesting.</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1"/>
          <w:numId w:val="76"/>
        </w:numPr>
        <w:rPr>
          <w:rFonts w:ascii="Arial" w:cs="Arial" w:eastAsia="Arial" w:hAnsi="Arial"/>
          <w:sz w:val="14"/>
          <w:szCs w:val="14"/>
          <w:color w:val="auto"/>
        </w:rPr>
      </w:pPr>
      <w:r>
        <w:rPr>
          <w:rFonts w:ascii="Arial" w:cs="Arial" w:eastAsia="Arial" w:hAnsi="Arial"/>
          <w:sz w:val="14"/>
          <w:szCs w:val="14"/>
          <w:color w:val="auto"/>
        </w:rPr>
        <w:t>5th Quarterly Installment Date: A number of Shares subject to the Award shall vest equal to the product of (i) the number of Restricted Stock Units granted, multiplied by (ii) a fraction, (x) the numerator of which shall be the number of days that have elapsed since,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120</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including, the vesting commencement date and (y) the denominator of which shall be one thousand four hundred sixty (1,460), rounded down to the nearest whole Share.</w:t>
      </w:r>
    </w:p>
    <w:p>
      <w:pPr>
        <w:spacing w:after="0" w:line="13" w:lineRule="exact"/>
        <w:rPr>
          <w:sz w:val="20"/>
          <w:szCs w:val="20"/>
          <w:color w:val="auto"/>
        </w:rPr>
      </w:pPr>
    </w:p>
    <w:p>
      <w:pPr>
        <w:ind w:left="640" w:hanging="308"/>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6th through 16th Quarterly Installment Date: 1/16th of the number of Restricted Stock Units granted shall vest, rounded down to the nearest whole Share.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17th Quarterly Installment Date: All then unvested Restricted Stock Units shall vest.</w:t>
      </w:r>
    </w:p>
    <w:p>
      <w:pPr>
        <w:spacing w:after="0" w:line="1" w:lineRule="exact"/>
        <w:rPr>
          <w:sz w:val="20"/>
          <w:szCs w:val="20"/>
          <w:color w:val="auto"/>
        </w:rPr>
      </w:pPr>
    </w:p>
    <w:p>
      <w:pPr>
        <w:ind w:left="340"/>
        <w:spacing w:after="0" w:line="241" w:lineRule="auto"/>
        <w:rPr>
          <w:sz w:val="20"/>
          <w:szCs w:val="20"/>
          <w:color w:val="auto"/>
        </w:rPr>
      </w:pPr>
      <w:r>
        <w:rPr>
          <w:rFonts w:ascii="Arial" w:cs="Arial" w:eastAsia="Arial" w:hAnsi="Arial"/>
          <w:sz w:val="14"/>
          <w:szCs w:val="14"/>
          <w:color w:val="auto"/>
        </w:rPr>
        <w:t>“Quarterly Installment Date” means March 1, June 1, September 1, and December 1 of each year, provided that if such date is not a business day, the Quarterly Installment Date shall be the first business day after such date.</w:t>
      </w:r>
    </w:p>
    <w:p>
      <w:pPr>
        <w:spacing w:after="0" w:line="1"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shares underlying this option vested in connection with the optionee’s continuous service.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option vests over 48 months of continuous service the vesting commencement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Subject to Mr. Yuann’s continuous service with us, the RSUs vest in 16 substantially equal installments on each Quarterly Installment Date following the vesting commencement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and Benefits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All of our current named executive officers are eligible to participate in our employee benefit plans, including our medical, dental, vision, life, disability and accidental death and dismemberment insurance plans, in each case on the same basis as all of our other employees. We pay the premiums for medical, dental, vision insurance for all of our employees and their dependents, including our named executive officers. We also pay the premiums for life, disability, accidental death and dismemberment insurance for all of our employees, including our named executive officers. We generally do not provide perquisites or personal benefits to our named executive officers that we do not offer to our other employees. During our year ended December 31, 2020, we paid or reimbursed our named executive officers a stipend for gym and cell phone costs, paid or reimbursed certain home office expenses, and provided certain service-based anniversary gifts to our employees with an accompanying gross-up.</w:t>
      </w:r>
    </w:p>
    <w:p>
      <w:pPr>
        <w:spacing w:after="0" w:line="12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maintain a 401(k) plan that provides eligible U.S.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we make matching contributions up to 4% of the employee’s annual salary up to a maximum of $290,000.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named executive officers did not participate in, or earn any benefits under, a nonqualified deferred compensation plan sponsored by us during the fiscal year ended December 31, 2020. Our board of directors may elect to provide our officers and other employees with nonqualified defined contribution or other nonqualified deferred compensation benefits in the future if it determines that doing so is in our best interests.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retirement plan sponsored by us during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principal features of our equity incentive plans are summarized below. Our board of directors adopted, and our stockholders approved, the 2021 Equity Incentive Plan, or the 2021 Plan, and the 2021 Employee Stock Purchase Plan, or the ESPP, in October 2021, and each of the 2021 Plan and the ESPP will become effective immediately prior to the effectiveness of the registration statement of which this prospectus forms a part. The 2021 Plan will supersede and replace our 2012 Equity Incentive Plan, or the 2012 Plan. After the 2021 Plan becomes effective, no further awards will be granted under the 2012 Plan. These summaries are qualified in their entirety by reference to the actual text of the plans, which are filed as exhibits to the registration statement of which this prospectus is a part.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2021 Plan provides for the grant of incentive stock options, or ISOs, nonstatutory stock options, or NSOs, stock appreciation rights, restricted stock awards, restricted stock unit awards, performance-based stock awards, and other stock awards, or collectively, stock awards. ISOs may be granted only to our employees, including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121</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officers, and the employees of our affiliates. All other awards may be granted to our employees, including our officers, our non-employee directors and consultants and the employees and consultants of our affiliates.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Initially, the aggregate number of shares of our Class A common stock that may be issued pursuant to stock awards under the 2021</w:t>
      </w:r>
      <w:r>
        <w:rPr>
          <w:rFonts w:ascii="Arial" w:cs="Arial" w:eastAsia="Arial" w:hAnsi="Arial"/>
          <w:sz w:val="16"/>
          <w:szCs w:val="16"/>
          <w:i w:val="1"/>
          <w:iCs w:val="1"/>
          <w:color w:val="auto"/>
        </w:rPr>
        <w:t xml:space="preserve"> </w:t>
      </w:r>
      <w:r>
        <w:rPr>
          <w:rFonts w:ascii="Arial" w:cs="Arial" w:eastAsia="Arial" w:hAnsi="Arial"/>
          <w:sz w:val="16"/>
          <w:szCs w:val="16"/>
          <w:color w:val="auto"/>
        </w:rPr>
        <w:t>Plan after it becomes effective will not exceed 14,521,824 shares, which is the sum of (i) 4,062,125 shares, plus (ii) any shares subject to outstanding stock options or other stock awards that were granted under the 2012 Plan that are forfeited, terminated, expire or are otherwise not issued. Additionally, the number of shares of our Class A common stock reserved for issuance under the 2021 Plan will automatically increase on January 1 of each calendar year, starting January 1, 2023 (assuming the 2021 Plan becomes effective in calendar year 2021) and ending on and including January 1, 2031, in an amount equal to five percent (5%) of the total number of shares of our capital stock outstanding on December 31 of the prior calendar year, unless our board of directors or compensation committee determines prior to the date of increase that there will be a lesser increase, or no increase.</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Shares subject to stock awards granted under the 2021 Plan that expire or terminate without being exercised in full, or that are paid out in cash rather than in shares, do not reduce the number of shares available for issuance under the 2021 Plan. Additionally, shares become available for future grant under the 2021 Plan if they were issued under stock awards under the 2021 Plan and we repurchase them or they are forfeited. This includes shares used to pay the exercise price of a stock award or to satisfy the tax withholding obligations related to a stock award.</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duly authorized committee of our board of directors, will administer the 2021 Plan.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also delegate to one or more of our officers the authority to (i) designate employees (other than officers) to receive specified stock awards, and (ii) determine the number of shares subject to such stock awards. Under the 2021 Plan, our board of directors has the authority to determine and amend the terms of awards, including:</w:t>
      </w:r>
    </w:p>
    <w:p>
      <w:pPr>
        <w:spacing w:after="0" w:line="133"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recipients;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exercise, purchase or strike price of stock awards, if 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number of shares subject to each stock award;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fair market value of a share of our Class A common stock in the event no public market exists for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vesting schedule applicable to the awards, together with any vesting acceleration;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form of consideration, if any, payable upon exercise or settlement of the award.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2021 Plan, our board of directors also generally has the authority to effect, with the consent of any adversely affected participant:</w:t>
      </w:r>
    </w:p>
    <w:p>
      <w:pPr>
        <w:spacing w:after="0" w:line="183"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reduction of the exercise, purchase or strike price of any outstanding award;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cancellation of any outstanding stock award and the grant in substitution therefor of other awards, cash or other consideration;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action that is treated as a repricing under generally accepted accounting principles.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Non-Employee Director Limitation. </w:t>
      </w:r>
      <w:r>
        <w:rPr>
          <w:rFonts w:ascii="Arial" w:cs="Arial" w:eastAsia="Arial" w:hAnsi="Arial"/>
          <w:sz w:val="16"/>
          <w:szCs w:val="16"/>
          <w:color w:val="auto"/>
        </w:rPr>
        <w:t>The maximum number of shares of Class A common stock subject to awards granted under the 2021 Plan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during any one calendar year to any non-employee director, taken together with any cash fees paid by us to the non-employee director during that year for service on the Board, will not exceed $ 750,000 in total value (calculating the value of the awards based on the grant date fair value for financial reporting purposes), or, with respect to the calendar year in which a non-employee director is first appointed or elected to the board of directors, $1,000,000. Such limitations shall apply beginning with the first calendar year that commences following the effective date of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122</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ISOs and NSOs are granted pursuant to stock option agreements adopted by the plan administrator. The plan administrator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price for stock options, within the terms and conditions of the 2021 Plan, provided that the exercise price of a stock option generally cannot be less than 100% of the fair market value of our Class A common stock on the date of grant. Options granted under the 2021 Plan vest at the rate specified in the stock option agreement as determined by the plan administrator. The maximum number of shares of our Class A common stock that may be issued upon the exercise of ISOs under the 2021 Plan is equal to 45,000,000.</w:t>
      </w:r>
    </w:p>
    <w:p>
      <w:pPr>
        <w:spacing w:after="0" w:line="12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Tax Limitations on ISOs. </w:t>
      </w:r>
      <w:r>
        <w:rPr>
          <w:rFonts w:ascii="Arial" w:cs="Arial" w:eastAsia="Arial" w:hAnsi="Arial"/>
          <w:sz w:val="16"/>
          <w:szCs w:val="16"/>
          <w:color w:val="auto"/>
        </w:rPr>
        <w:t>The aggregate fair market value, determined at the time of grant, of our Class A common stock with respect to ISOs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for the first time by an optionholder during any calendar year under all of our stock plans may not exceed $100,000. Options or portions thereof that exceed such limit will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term of the ISO does not exceed five years from the date of grant.</w:t>
      </w:r>
    </w:p>
    <w:p>
      <w:pPr>
        <w:spacing w:after="0" w:line="10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Restricted stock unit awards are granted pursuant to restricted stock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once the participant’s continuous service ends for any reason.</w:t>
      </w:r>
    </w:p>
    <w:p>
      <w:pPr>
        <w:spacing w:after="0" w:line="1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Restricted stock awards are granted pursuant to restricted stock award agreements adopted by the plan administrator.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may be awarded in consideration for cash, check, bank draft or money order, past services to us or any other form of legal consideration (including future services) that may be acceptable to our board of directors and permissible under applicable law. The plan administrator determines the terms and conditions of restricted stock awards, including vesting and forfeiture terms. If a participant’s service relationship with us ceases for any reason, we may receive any or all of the shares of Class A common stock held by the participant that have not vested as of the date the participant terminates service with us through a forfeiture condition or a repurchase right.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pursuant to stock appreciation grant agreements adopted by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administrator determines the purchase price or strike price for a stock appreciation right, which generally cannot be less than 100% of the fair market value of our Class A common stock on the date of grant. A stock appreciation right granted under the 2021 Plan vests at the rate specified in the stock appreciation right agreement as determined by the plan administrator.</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2021 Plan permits the grant of performance awards that may be settled in stock, cash or other property. Performance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performance goals may be based on any measure of performance selected by our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of directors when the performance award is granted, our board of directors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123</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accepted accounting principles; (6) to exclude the dilutive effects of acquisitions or joint ventures; (7) to assume that any portion of our business which is divested achieved performance objectives at targeted levels during the balance of a performance period following such divestiture; (8)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w:t>
      </w:r>
    </w:p>
    <w:p>
      <w:pPr>
        <w:spacing w:after="0" w:line="2" w:lineRule="exact"/>
        <w:rPr>
          <w:sz w:val="20"/>
          <w:szCs w:val="20"/>
          <w:color w:val="auto"/>
        </w:rPr>
      </w:pPr>
    </w:p>
    <w:p>
      <w:pPr>
        <w:jc w:val="both"/>
        <w:ind w:firstLine="8"/>
        <w:spacing w:after="0" w:line="255" w:lineRule="auto"/>
        <w:tabs>
          <w:tab w:leader="none" w:pos="3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The 2021 Plan administrator may grant other awards based in whole or in part by reference to our Class A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2021 Plan administrator will set the number of shares under the stock award and all other terms and conditions of such awards.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2021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following applies to stock awards under the 2021 Plan in the event of a corporate transaction (as defined in the 2021 Plan</w:t>
      </w:r>
      <w:r>
        <w:rPr>
          <w:rFonts w:ascii="Arial" w:cs="Arial" w:eastAsia="Arial" w:hAnsi="Arial"/>
          <w:sz w:val="18"/>
          <w:szCs w:val="18"/>
          <w:i w:val="1"/>
          <w:iCs w:val="1"/>
          <w:color w:val="auto"/>
        </w:rPr>
        <w:t xml:space="preserve"> </w:t>
      </w:r>
      <w:r>
        <w:rPr>
          <w:rFonts w:ascii="Arial" w:cs="Arial" w:eastAsia="Arial" w:hAnsi="Arial"/>
          <w:sz w:val="18"/>
          <w:szCs w:val="18"/>
          <w:color w:val="auto"/>
        </w:rPr>
        <w:t>and as summarized below), unless otherwise provided in a participant’s stock award agreement or other written agreement with us or one of our affiliates or unless otherwise expressly provided by the plan administrator at the time of grant.</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our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Notwithstanding the foregoing, performance awards shall terminate without vesting or becoming exercisable unless (1) provided otherwise in the agreement evidencing such corporate transaction, (2) the 2021 Plan administrator affirmatively provides otherwise prior to the closing of such corporate transaction or (3) as otherwise provided in the agreement evidencing such performance award.</w:t>
      </w:r>
    </w:p>
    <w:p>
      <w:pPr>
        <w:spacing w:after="0" w:line="12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Class A common stock in connection with the corporate transaction, over (ii)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124</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2021 Plan, a corporate transaction is generally defined as the consummation of: (1) a sale of all or substantially all of our assets, (2) the sale or disposition of at least 50% of our outstanding securities, (3) a merger or consolidation where we do not survive the transaction, or (4) a merger or consolidation where we do survive the transaction but the shares of our Class A common stock outstanding immediately before such transaction are converted or exchanged into other property by virtue of the transaction.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Awards granted under the 2021 Plan may be subject to acceleration of vesting and exercisability upon or after a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as may be provided in the applicable stock award agreement or in any other written agreement between us or any affiliate and the participant, but in the absence of such provision, no such acceleration will automatically occur.</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the 2021 Plan, a change in control is generally defined as: (1) the acquisition by any person or company of more than 50% of the combined voting power of our then outstanding stock; (2) a consummated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consummated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(4) when a majority of our board of directors becomes comprised of individuals who were not serving on our board of directors on the date the 2021 Plan was adopted by the board of directors, or the incumbent board, or whose nomination, appointment, or election was not approved by a majority of the incumbent board still in office.</w:t>
      </w:r>
    </w:p>
    <w:p>
      <w:pPr>
        <w:spacing w:after="0" w:line="1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generally may not transfer stock awards under the 2021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the 2021 Plan.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has the authority to amend, suspend, or terminate the 2021 Plan, provided that such action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impair the existing rights of any participant without such participant’s written consent. Certain material amendments also require the approval of our stockholders. No ISOs may be granted after the tenth anniversary of the date our board of directors adopted the 2021 Plan. No stock awards may be granted under the 2021 Plan while it is suspended or after it is terminated.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September 30, 2021 there were 1,250,317 shares of Class A common stock remaining available for the future grant of stock awards under the 2012 Plan. As of September 30, 2021, stock options covering 6,932,360 shares of our Class A common stock were outstanding and RSUs covering 2,854,438 shares of Class A common stock were outstanding and subject to vesting, and we had a repurchase right with respect to 8,526 shares of Class A common stock issued upon early exercise of unvested options under the 2012 Plan. No further stock awards will be granted under the 2012 Plan on or after the effectiveness of our 2021 Plan; however, awards outstanding under the 2012 Plan will continue to be governed by their existing terms.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The 2012 Plan provides for the grant of ISOs, NSOs, stock appreciation rights, restricted stock awards, and restricted stock units. Such</w:t>
      </w:r>
      <w:r>
        <w:rPr>
          <w:rFonts w:ascii="Arial" w:cs="Arial" w:eastAsia="Arial" w:hAnsi="Arial"/>
          <w:sz w:val="18"/>
          <w:szCs w:val="18"/>
          <w:i w:val="1"/>
          <w:iCs w:val="1"/>
          <w:color w:val="auto"/>
        </w:rPr>
        <w:t xml:space="preserve"> </w:t>
      </w:r>
      <w:r>
        <w:rPr>
          <w:rFonts w:ascii="Arial" w:cs="Arial" w:eastAsia="Arial" w:hAnsi="Arial"/>
          <w:sz w:val="18"/>
          <w:szCs w:val="18"/>
          <w:color w:val="auto"/>
        </w:rPr>
        <w:t>awards may be granted to our, employees, directors and consultants engaged by us or any of our subsidiary companies, except that ISOs may only be granted to our employees.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Subject to certain capitalization adjustments, the aggregate number of shares of Class A common stock authorized for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stock awards under the 2012 Plan will not exceed 23,531,337 shares. However, no new awards will be granted under the 2012 Plan following the completion of this offering.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Shares subject to stock awards granted under the 2012 Plan that expire, become unexercisable or are cancelled, forfeited to or repurchased by us due to the failure to vest, or otherwise terminated without having been exercised or settled in full, or are surrendered pursuant to an exchange program (as described below) in accordance with the 2012 Plan, shall revert to and again become available for issuance under the 2012 Plan. This includes shares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reacquired pursuant to any forfeiture provision, right of repurchase or redemption or shares that are used to satisfy the exercise or purchase price for the award or any tax withholding obligations related to an award.</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administers and interprets the provisions of the 2012 Plan. The board of directors may delegate its</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to a committee of the board and has delegated authority to the compensation committee of the board, referred to as the “plan administrator” herein. The plan administrator may additionally delegate limited authority to specified officers to execute any instrument required to effect an award previously granted by the plan administrator. Under the 2012 Plan, the plan administrator has the authority to, among other things, determine award recipients, the numbers and types of stock awards to be granted, the applicable fair market value and the provisions of each stock award, including the period of their exercisability and the vesting schedule applicable to a stock award; construe and interpret the 2012 Plan and awards granted thereunder; prescribe, amend and rescind rules and regulations for the administration of the 2012 Plan; and accelerate the vesting of awards.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2012 Plan, the plan administrator also has the authority, without stockholder consent, to institute and determine the terms of an exchange program under which (i) outstanding awards are surrendered or cancelled in exchange for awards of the same type (which may have higher or lower exercise or purchase prices and different terms), awards of a different type, and/or cash, (ii) participants would have the opportunity to transfer any outstanding awards to a financial institution or other person or entity selected by the plan administrator and/or (iii) the exercise or purchase price of an outstanding award is reduced or increased.</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share option agreements and option rules adopted by the plan administrator.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the exercise price for stock options, within the terms and conditions of the 2012 Plan, provided that the exercise price of a stock option generally will not be less than 100% of the fair market value of our Class A common stock on the date of grant (or 110% of the fair market value for 10% stockholders as required by the Code). Options granted under the 2012 Plan vest at the rate specified in the share option agreements and option rules as determined by the plan administrator.</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RSUs are granted under restricted stock unit award agreements adopted by the plan administrator. RSUs may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consideration for any form of legal consideration that may be acceptable to our board of directors and permissible under applicable law. An RSU may be settled by cash, delivery of stock, a combination of cash and stock as deemed appropriate by the plan administrator, or in any other form of consideration set forth in the RSU agreement. Except as otherwise provided in the applicable award agreement, RSUs that have not vested will be forfeited once the participant’s continuous service ends for any reason.</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Restricted shares may be awarded in consideration for cash or cash equivalents or another form of consideration, including past</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as determined by our plan administrator. Restricted shares may also be issued upon an optionholders’ exercise of an unvested option, or an “early exercise”. The plan administrator determines the terms and conditions of restricted shares,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 Restricted shares acquired upon early exercise of a stock option are generally subject to our right to repurchase such shares upon the holder’s termination of service with us for any reason, at the lesser of the price paid for such shares or the then-current fair market value.</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of any dividend or other distribution, recapitalization, share split, reverse share split, reorganization,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split-up, spin-off, combination, repurchase or exchange of shares or other change in the Company’s corporate structure affecting the Company’s shares, the plan administrator will adjust the number and class of shares that may be delivered under the 2012 Plan and/or the number, class and price of shares covered by each outstanding award.</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merger or a change in control, each outstanding award will be treated as the plan administrator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include, without limitation, that:</w:t>
      </w:r>
    </w:p>
    <w:p>
      <w:pPr>
        <w:spacing w:after="0" w:line="116"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awards will be assumed or substituted by the acquiring or succeeding corporation with appropriate adjustments;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b w:val="1"/>
          <w:bCs w:val="1"/>
          <w:color w:val="auto"/>
        </w:rPr>
        <w:t>126</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4" w:lineRule="exact"/>
        <w:rPr>
          <w:sz w:val="20"/>
          <w:szCs w:val="20"/>
          <w:color w:val="auto"/>
        </w:rPr>
      </w:pPr>
    </w:p>
    <w:p>
      <w:pPr>
        <w:ind w:left="660" w:right="2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written notice to the participant, the participant’s awards will terminate upon or immediately prior to the consummation of such merger or change in control;</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outstanding awards will vest and become exercisable, realizable or payable, or restrictions applicable to an award will lapse, in whole or in part prior to or upon consummation of such merger or change in control and, to the extent the plan administrator determines, terminate upon or immediately prior to the effectiveness of such merger or change in control;</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award will terminate in exchange for an amount of cash and/or property, if any, equal to the amount that would have been attained upon the exercise of such award or realization of the participant’s rights as of the date of the occurrence of the transaction or an award will be replaced with other rights or property selected by the plan administrator in its sole discretion; or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administrator is not obligated to treat all awards similarly.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Notwithstanding the foregoing, however, in the event that the successor corporation in a merger or change in control does not assume or substitute for an award, the award will fully vest and become exercisable. If the award is an option, it will be exercisable for a period of time determined by the plan administrator and will terminate upon the expiration of such period.</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above, the plan administrator may provide, in an award agreement or in any other written agreement between the participant and the Company, for accelerated vesting and exercisability in the event of a change in control or similar transaction.</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2012 Plan, a change in control is generally defined as the occurrence of any of the following events: (a) a change in the ownership of the Company which occurs on the date that any one person, or more than one person acting as a group, acquires ownership of the share capital of the Company that, together with the share capital held by such person, constitutes more than 50% of the total voting power of the Company, except as a result of a private financing approved by the board of directors; (b) if the Company has a class of securities registered pursuant to Section 12 of the Exchange Act, a change in the effective control of the Company which occurs on the date that a majority of members of the board of directors are replaced during any 12 month period by directors whose appointment or election is not endorsed by a majority of the members of the board of directors prior to the date of the appointment or election or (c) a change in the ownership of a substantial portion of the Company’s assets which occurs on the date that any person acquires assets from the Company that have a total gross fair market value equal to or more than 50% of the total gross fair market value of all of the assets of the Company immediately prior to such acquisition.</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Plan Amendment or Termination. </w:t>
      </w:r>
      <w:r>
        <w:rPr>
          <w:rFonts w:ascii="Arial" w:cs="Arial" w:eastAsia="Arial" w:hAnsi="Arial"/>
          <w:sz w:val="18"/>
          <w:szCs w:val="18"/>
          <w:color w:val="auto"/>
        </w:rPr>
        <w:t>The plan administrator may at any time amend, alter, suspend or terminate the 2012 Plan. Certain amendments,</w:t>
      </w:r>
      <w:r>
        <w:rPr>
          <w:rFonts w:ascii="Arial" w:cs="Arial" w:eastAsia="Arial" w:hAnsi="Arial"/>
          <w:sz w:val="18"/>
          <w:szCs w:val="18"/>
          <w:i w:val="1"/>
          <w:iCs w:val="1"/>
          <w:color w:val="auto"/>
        </w:rPr>
        <w:t xml:space="preserve"> </w:t>
      </w:r>
      <w:r>
        <w:rPr>
          <w:rFonts w:ascii="Arial" w:cs="Arial" w:eastAsia="Arial" w:hAnsi="Arial"/>
          <w:sz w:val="18"/>
          <w:szCs w:val="18"/>
          <w:color w:val="auto"/>
        </w:rPr>
        <w:t>alterations, or the suspension or discontinuance of the 2012 Plan may require the written consent of holders of outstanding awards. Certain material amendments also require the approval of our stockholders.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ESPP will become effective in connection with this offering. The purpose of the ESPP is to secure the services of new employees, retain the services of existing employees, and provide incentives for such individuals to exert maximum efforts toward our success and that of our affiliates. The ESPP is intended to qualify as an “employee stock purchase plan” within the meaning of Section 423 of the Code for U.S. employees. In addition, our board of directors may adopt rules that are beyond the scope of Section 423 of the Code to provide for the grant of purchase rights to employees who are employed or located outside of the United States.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Following this offering, the ESPP authorizes the issuance of 841,200 shares of our Class A common stock under purchase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our employees or to employees of any of our designated affiliates. The number of shares of our Class A common stock reserved for issuance will automatically increase on January 1st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127</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each calendar year, beginning on January 1, 2023 and ending on and including January 1, 2031, by the lesser of (i) one percent (1%) of the total number of shares of our capital stock outstanding on the last day of the calendar month before the date of the automatic increase, and (ii) 850,000 shares, unless our board of directors or compensation committee determines prior to the date of the increase that there will be a lesser increase, or no increase. As of the date hereof, no shares of our Class A common stock have been purchased under the ESPP.</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has delegated its authority to administer the ESPP to our compensation committee. The ESPP is implemented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We currently intend to have 24-month offerings with multiple purchase periods (of approximately six months in duration) per offering, except that the first purchase period under our first offering may be shorter or longer than 24 months, depending on the date on which the underwriting agreement relating to this offering becomes effective. An offering under the ESPP may be terminated under certain circumstances.</w:t>
      </w:r>
    </w:p>
    <w:p>
      <w:pPr>
        <w:spacing w:after="0" w:line="1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Payroll Deductions. </w:t>
      </w:r>
      <w:r>
        <w:rPr>
          <w:rFonts w:ascii="Arial" w:cs="Arial" w:eastAsia="Arial" w:hAnsi="Arial"/>
          <w:sz w:val="16"/>
          <w:szCs w:val="16"/>
          <w:color w:val="auto"/>
        </w:rPr>
        <w:t>Generally, all regular employees, including executive officers, employed by us or by any of our designated affiliates, may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ESPP and may contribute, normally through payroll deductions, up to either a maximum dollar amount or a maximum specified percentage of their earnings (as defined in each offering) for the purchase of our Class A common stock under the ESPP as is designated by the board of directors for each particular offering. Unless otherwise determined by our board of directors, Class A common stock will be purchased for the accounts of employees participating in the ESPP at a price per share that is at least the lesser of (i) 85% of the fair market value of a share of our Class A common stock on the first date of an offering, or (ii) 85% of the fair market value of a share of our Class A common stock on the date of purchase.</w:t>
      </w:r>
    </w:p>
    <w:p>
      <w:pPr>
        <w:spacing w:after="0" w:line="1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Limitations. </w:t>
      </w:r>
      <w:r>
        <w:rPr>
          <w:rFonts w:ascii="Arial" w:cs="Arial" w:eastAsia="Arial" w:hAnsi="Arial"/>
          <w:sz w:val="17"/>
          <w:szCs w:val="17"/>
          <w:color w:val="auto"/>
        </w:rPr>
        <w:t>Employees may have to satisfy one or more of the following service requirements before participating in the ESPP, as determined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including: (i) being customarily employed for more than 20 hours per week, (ii) being customarily employed for more than five months per calendar year, or (iii) continuous employment with us or one of our affiliates for a period of time (not to exceed two years). No employee may purchase shares under the ESPP at a rate in excess of $25,000 worth of our Class A common stock in any calendar year based on the fair market value per share of our Class A common stock at the beginning of an offering for each year such a purchase right is outstanding and the maximum number of shares an employee may purchase during a single purchase period will be specified by the board of directors for each particular offering.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Changes to Capital Structure. </w:t>
      </w:r>
      <w:r>
        <w:rPr>
          <w:rFonts w:ascii="Arial" w:cs="Arial" w:eastAsia="Arial" w:hAnsi="Arial"/>
          <w:sz w:val="17"/>
          <w:szCs w:val="17"/>
          <w:color w:val="auto"/>
        </w:rPr>
        <w:t>In the event that there occurs a change in our capital structure through such actions as a stock split, merger,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class and maximum number of securities subject to the ESPP, (ii) the class and maximum number of securities by which the share reserve is to increase automatically each year, (iii) the class and number of securities subject to, and the purchase price applicable to, outstanding offerings, and (iv) the class and number of securities that are the subject of the purchase limits under each ongoing offering.</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significant corporate transactions, such as a merger or change in control, a successor corporation may</w:t>
      </w:r>
      <w:r>
        <w:rPr>
          <w:rFonts w:ascii="Arial" w:cs="Arial" w:eastAsia="Arial" w:hAnsi="Arial"/>
          <w:sz w:val="16"/>
          <w:szCs w:val="16"/>
          <w:i w:val="1"/>
          <w:iCs w:val="1"/>
          <w:color w:val="auto"/>
        </w:rPr>
        <w:t xml:space="preserve"> </w:t>
      </w:r>
      <w:r>
        <w:rPr>
          <w:rFonts w:ascii="Arial" w:cs="Arial" w:eastAsia="Arial" w:hAnsi="Arial"/>
          <w:sz w:val="16"/>
          <w:szCs w:val="16"/>
          <w:color w:val="auto"/>
        </w:rPr>
        <w:t>assume, continue or substitute each outstanding purchase right. If the successor corporation does not assume, continue or substitute for the outstanding purchase rights, then the participants’ accumulated contributions will be used to purchase shares of our Class A common stock within ten business days prior to the corporate transaction under the outstanding purchase rights, and the purchase rights will terminate immediately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128</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Amendment or Termination. </w:t>
      </w:r>
      <w:r>
        <w:rPr>
          <w:rFonts w:ascii="Arial" w:cs="Arial" w:eastAsia="Arial" w:hAnsi="Arial"/>
          <w:sz w:val="18"/>
          <w:szCs w:val="18"/>
          <w:color w:val="auto"/>
        </w:rPr>
        <w:t>Our board of directors has the authority to amend or terminate our ESPP, provided that except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or termination may not materially impair any outstanding purchase rights without the holder’s consent. Our ESPP will remain in effect until terminated by our board of directors in accordance with the terms of our ESPP.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subject to the lock-up agreement that the director or executive officer has entered into with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30"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amended and restated bylaws that will be in effect on the completion of this offering will provide that we are required to indemnify our directors and officers to the fullest extent permitted by Delaware law and may indemnify our other employees and agents. Our amended and restated bylaws that will be in effect 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129</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130</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2018 and each currently proposed transaction in which:</w:t>
      </w:r>
    </w:p>
    <w:p>
      <w:pPr>
        <w:spacing w:after="0" w:line="116"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Financing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November 2020, we sold an aggregate of 3,878,570 shares of our Class A common stock at a purchase price of $14.00 per share to a total of seven accredited investors for an aggregate purchase price of approximately $54.3 million. The following table summarizes purchases of our Class A common stock by related persons:</w:t>
      </w:r>
    </w:p>
    <w:p>
      <w:pPr>
        <w:sectPr>
          <w:pgSz w:w="11900" w:h="16838" w:orient="portrait"/>
          <w:cols w:equalWidth="0" w:num="1">
            <w:col w:w="11240"/>
          </w:cols>
          <w:pgMar w:left="320" w:top="1440" w:right="339" w:bottom="1440" w:gutter="0" w:footer="0" w:header="0"/>
        </w:sect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Stockholder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540"/>
        <w:spacing w:after="0"/>
        <w:rPr>
          <w:sz w:val="20"/>
          <w:szCs w:val="20"/>
          <w:color w:val="auto"/>
        </w:rPr>
      </w:pPr>
      <w:r>
        <w:rPr>
          <w:rFonts w:ascii="Arial" w:cs="Arial" w:eastAsia="Arial" w:hAnsi="Arial"/>
          <w:sz w:val="12"/>
          <w:szCs w:val="12"/>
          <w:b w:val="1"/>
          <w:bCs w:val="1"/>
          <w:color w:val="auto"/>
        </w:rPr>
        <w:t>Shares of Class A</w:t>
      </w:r>
    </w:p>
    <w:p>
      <w:pPr>
        <w:spacing w:after="0" w:line="40"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Total</w:t>
      </w:r>
    </w:p>
    <w:p>
      <w:pPr>
        <w:spacing w:after="0" w:line="17" w:lineRule="exact"/>
        <w:rPr>
          <w:sz w:val="20"/>
          <w:szCs w:val="20"/>
          <w:color w:val="auto"/>
        </w:rPr>
      </w:pPr>
    </w:p>
    <w:p>
      <w:pPr>
        <w:jc w:val="center"/>
        <w:ind w:right="620"/>
        <w:spacing w:after="0"/>
        <w:rPr>
          <w:sz w:val="20"/>
          <w:szCs w:val="20"/>
          <w:color w:val="auto"/>
        </w:rPr>
      </w:pPr>
      <w:r>
        <w:rPr>
          <w:rFonts w:ascii="Arial" w:cs="Arial" w:eastAsia="Arial" w:hAnsi="Arial"/>
          <w:sz w:val="12"/>
          <w:szCs w:val="12"/>
          <w:b w:val="1"/>
          <w:bCs w:val="1"/>
          <w:color w:val="auto"/>
        </w:rPr>
        <w:t>Purchase Price</w:t>
      </w:r>
    </w:p>
    <w:p>
      <w:pPr>
        <w:spacing w:after="0" w:line="38" w:lineRule="exact"/>
        <w:rPr>
          <w:sz w:val="20"/>
          <w:szCs w:val="20"/>
          <w:color w:val="auto"/>
        </w:rPr>
      </w:pPr>
    </w:p>
    <w:p>
      <w:pPr>
        <w:sectPr>
          <w:pgSz w:w="11900" w:h="16838" w:orient="portrait"/>
          <w:cols w:equalWidth="0" w:num="3">
            <w:col w:w="6640" w:space="720"/>
            <w:col w:w="1620" w:space="720"/>
            <w:col w:w="15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6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Innovius Capital Sirius I L.P.</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2,642,857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36,999,998</w:t>
            </w:r>
          </w:p>
        </w:tc>
      </w:tr>
      <w:tr>
        <w:trPr>
          <w:trHeight w:val="251"/>
        </w:trPr>
        <w:tc>
          <w:tcPr>
            <w:tcW w:w="6820" w:type="dxa"/>
            <w:vAlign w:val="bottom"/>
            <w:gridSpan w:val="2"/>
          </w:tcPr>
          <w:p>
            <w:pPr>
              <w:ind w:left="20"/>
              <w:spacing w:after="0" w:line="252" w:lineRule="exact"/>
              <w:rPr>
                <w:sz w:val="20"/>
                <w:szCs w:val="20"/>
                <w:color w:val="auto"/>
              </w:rPr>
            </w:pPr>
            <w:r>
              <w:rPr>
                <w:rFonts w:ascii="Arial" w:cs="Arial" w:eastAsia="Arial" w:hAnsi="Arial"/>
                <w:sz w:val="18"/>
                <w:szCs w:val="18"/>
                <w:color w:val="auto"/>
              </w:rPr>
              <w:t xml:space="preserve">Entities affiliated with iGlobe Partners </w:t>
            </w:r>
            <w:r>
              <w:rPr>
                <w:rFonts w:ascii="Arial" w:cs="Arial" w:eastAsia="Arial" w:hAnsi="Arial"/>
                <w:sz w:val="23"/>
                <w:szCs w:val="23"/>
                <w:color w:val="auto"/>
                <w:vertAlign w:val="superscript"/>
              </w:rPr>
              <w:t>(1)</w:t>
            </w:r>
          </w:p>
        </w:tc>
        <w:tc>
          <w:tcPr>
            <w:tcW w:w="2160" w:type="dxa"/>
            <w:vAlign w:val="bottom"/>
          </w:tcPr>
          <w:p>
            <w:pPr>
              <w:jc w:val="right"/>
              <w:spacing w:after="0"/>
              <w:rPr>
                <w:sz w:val="20"/>
                <w:szCs w:val="20"/>
                <w:color w:val="auto"/>
              </w:rPr>
            </w:pPr>
            <w:r>
              <w:rPr>
                <w:rFonts w:ascii="Arial" w:cs="Arial" w:eastAsia="Arial" w:hAnsi="Arial"/>
                <w:sz w:val="18"/>
                <w:szCs w:val="18"/>
                <w:color w:val="auto"/>
              </w:rPr>
              <w:t>735,714</w:t>
            </w:r>
          </w:p>
        </w:tc>
        <w:tc>
          <w:tcPr>
            <w:tcW w:w="10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10,299,996</w:t>
            </w:r>
          </w:p>
        </w:tc>
      </w:tr>
      <w:tr>
        <w:trPr>
          <w:trHeight w:val="174"/>
        </w:trPr>
        <w:tc>
          <w:tcPr>
            <w:tcW w:w="6740" w:type="dxa"/>
            <w:vAlign w:val="bottom"/>
          </w:tcPr>
          <w:p>
            <w:pPr>
              <w:spacing w:after="0"/>
              <w:rPr>
                <w:sz w:val="20"/>
                <w:szCs w:val="20"/>
                <w:color w:val="auto"/>
              </w:rPr>
            </w:pPr>
            <w:r>
              <w:rPr>
                <w:rFonts w:ascii="Arial" w:cs="Arial" w:eastAsia="Arial" w:hAnsi="Arial"/>
                <w:sz w:val="14"/>
                <w:szCs w:val="14"/>
                <w:color w:val="auto"/>
              </w:rPr>
              <w:t>_________________</w:t>
            </w: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shares issued to iGlobe Platinum Fund II Pte Ltd, iGlobe Platinum Fund III Limited and iGlobe Treasury Management Pte Ltd.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Tender Offers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2020, we entered into an agreement with, various investors pursuant to which we agreed to waive certain transfer restrictions in connection with, and assist in the administration of, a tender offer that the investors proposed to commence. In addition, we granted registration rights and certain information rights to the investors in connection with the consummation of the tender offer. In February 2020, the investors commenced a tender offer to purchase shares of our capital stock from certain of our stockholders at a price of $14.00 per share, less the option exercise price, if applicable, pursuant to an offer to purchase to which we were not a party. An aggregate of 1,694,642 shares of our Class A common stock were tendered pursuant to the tender offer for an aggregate purchase price of approximately $23.8 million.</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Kevin Yuann, our Chief Business Officer, Laura Onopchenko, our former Chief Financial Officer, and Simon Williams, a former member of our board of directors, and certain other of our employees sold shares of our capital stock in the tender offer.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and Option Cancellation Transactions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Simon Williams</w:t>
      </w:r>
      <w:r>
        <w:rPr>
          <w:rFonts w:ascii="Arial" w:cs="Arial" w:eastAsia="Arial" w:hAnsi="Arial"/>
          <w:sz w:val="18"/>
          <w:szCs w:val="18"/>
          <w:color w:val="auto"/>
        </w:rPr>
        <w:t>. In August 2019, we entered into an Option Cancellation Agreement with Camelot Financial Capital Management LLC and Simon</w:t>
      </w:r>
      <w:r>
        <w:rPr>
          <w:rFonts w:ascii="Arial" w:cs="Arial" w:eastAsia="Arial" w:hAnsi="Arial"/>
          <w:sz w:val="18"/>
          <w:szCs w:val="18"/>
          <w:i w:val="1"/>
          <w:iCs w:val="1"/>
          <w:color w:val="auto"/>
        </w:rPr>
        <w:t xml:space="preserve"> </w:t>
      </w:r>
      <w:r>
        <w:rPr>
          <w:rFonts w:ascii="Arial" w:cs="Arial" w:eastAsia="Arial" w:hAnsi="Arial"/>
          <w:sz w:val="18"/>
          <w:szCs w:val="18"/>
          <w:color w:val="auto"/>
        </w:rPr>
        <w:t>Williams, a former member of our board of directors, pursuant to which we cancelled an option to purchase 100,000 shares of Class A common stock held by Camelot Financial Capital Management LLC for consideration equal to $10.20 per share, minus the exercise price for the shares underlying such option. The total consideration paid to Camelot Financial Capital Management LLC was $770,000.</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2021, we entered into an Option Cancellation Agreement with Camelot Financial Capital Management LLC and Simon Williams, a former member of our board of directors, pursuant to which we cancelled options to purchase an aggregate of 172,500 shares of Class A common stock held by Camelot Financial Capital Management LLC for consideration equal to $20.00 per share, minus the exercise price for the shares underlying such options. The total consideration paid to Camelot Financial Capital Management LLC for the option cancellation was $2,432,979. In addition, in March 2021, we repurchased 102,500 shares of Series A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131</w:t>
      </w:r>
    </w:p>
    <w:p>
      <w:pPr>
        <w:sectPr>
          <w:pgSz w:w="11900" w:h="16838" w:orient="portrait"/>
          <w:cols w:equalWidth="0" w:num="1">
            <w:col w:w="11240"/>
          </w:cols>
          <w:pgMar w:left="320" w:top="1440" w:right="339" w:bottom="1440" w:gutter="0" w:footer="0" w:header="0"/>
          <w:type w:val="continuous"/>
        </w:sectPr>
      </w:pPr>
    </w:p>
    <w:bookmarkStart w:id="139" w:name="page140"/>
    <w:bookmarkEnd w:id="139"/>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 from Camelot Financial Capital Management LLC at a purchase price of $20.00 per share. The total consideration paid to Camelot Financial Capital Management LLC for the share repurchase was $2,050,000.</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Tim Chen</w:t>
      </w:r>
      <w:r>
        <w:rPr>
          <w:rFonts w:ascii="Arial" w:cs="Arial" w:eastAsia="Arial" w:hAnsi="Arial"/>
          <w:sz w:val="17"/>
          <w:szCs w:val="17"/>
          <w:color w:val="auto"/>
        </w:rPr>
        <w:t>. In January 2021, we repurchased 882,817 shares of Class F common stock from Tim Chen, our Co-founder,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of our board of directors, at a purchase price of $14.00 per share. The total consideration paid to Mr. Chen was $12,359,438.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party to an investors’ rights agreement, or IRA, with certain holders of our capital stock, including Institutional Venture Partners XIV, L.P., as well as other holders of our redeemable convertible preferred stock. The IRA provides the holders of our redeemable convertible preferred stock with certain registration rights, including the right to demand that we file a registration statement or request that their shares be covered by a registration statement that we are otherwise filing. The IRA also provides these stockholders with information rights, which will terminate on the completion of this offering, and a right of first refusal with regard to certain issuances of our capital stock, which will not apply to, and will terminate on, the completion of, this offering. In connection with this offering, the holders of up to 15,613,994 shares of our Class A common stock issuable on conversion of outstanding redeemable convertible preferred stock are entitled to, and the necessary percentage of holders waived, their rights with respect to the registration of their shares under the Securities Act under this agreement. For a description of these registration rights, see the section titled “Description of Capital Stock— Registration Rights.”</w:t>
      </w:r>
    </w:p>
    <w:p>
      <w:pPr>
        <w:spacing w:after="0" w:line="14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addition, we have entered into letter agreements with each of Innovius Capital Sirius I L.P. and entities affiliated with iGlobe Partners, holders of more than 5% of our Class A common stock pursuant to which we have agreed that their shares be covered by a registration statement that we are otherwise filing in certain circumstances. These rights are not applicable to this offering.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party to a voting agreement under which certain holders of our capital stock, our founders, and certain early service providers, including Tim Chen, our Co-founder, Chief Executive Officer and Chairman of our board of directors, and Institutional Venture Partners XIV L.P. and entities affiliated with RRE Ventures, each of which are beneficial holders of more than 5% of our Class A common stock and entities with which certain of our directors are affiliated, have agreed to vote in a certain way on certain matters, including with respect to the election of directors. Upon the closing of this offering, the voting agreement will terminate and none of our stockholders will have any special rights regarding the election or designation of members of our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our equity compensation plans and certain agreements with our stockholders, including a right of first refusal and co-sale agreement with certain holders of our capital stock, including Tim Chen, we or our assignees have a right to purchase shares of our capital stock which stockholders propose to sell to other parties. This right will terminate upon the completion of this offering. Since January 2015, we have waived our right of first refusal in connection with the sale of certain shares of our capital stock, including sales by certain of our executive officers, resulting in the purchase of such shares by certain of our stockholders, including related persons.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contain provisions limiting the liability of directors, and our amended and restated bylaws that will be in effect on the completion of this offering will provide that we will indemnify each of our directors and officers to the fullest extent permitted under Delaware law. Our amended and restated certificate of incorporation and amended and restated bylaws that will be in effect 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 —Limitations of Liability and Indemnification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132</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employment agreements with our named executive officers, see the section titled “Executive Compensation—Agreements with Our Named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the completion of this offering, 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133</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information with respect to the beneficial ownership of our capital stock as of September 30, 2021, and as adjusted to reflect the sale of our Class A common stock offered by us in this offering assuming no exercise of the underwriters’ option to purchase additional shares, for:</w:t>
      </w:r>
    </w:p>
    <w:p>
      <w:pPr>
        <w:spacing w:after="0" w:line="130"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Class A common stock or our Class B common stock.</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3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Applicable percentage ownership before the offering is based on 25,811,689 shares of Class A common stock and 31,685,652 shares of Class B common stock outstanding as of September 30, 2021, assuming the reclassification of all outstanding shares of our Class F common stock to Class B common stock and automatic conversion of all outstanding shares of redeemable convertible preferred stock into an aggregate of 7,526,824 shares of Class A common stock upon the closing of this offering, assuming an initial public offering price of $18.00 per share, which is the midpoint of the price range set forth on the cover page of this prospectus, provided that the actual number of shares of Class A common stock that will be issued upon conversion of our redeemable convertible preferred stock is subject to increase in the event the initial public offering price is less than $17.9592 as described more fully in “Capitalization — Series A Preferred Stock Additional Issuance”. Applicable percentage ownership after the offering is based on 33,061,689 shares of Class A common stock and 31,685,652 shares of Class B common stock outstanding immediately after the completion of this offering, assuming no exercise by the underwriters of their option to purchase additional shares of Class A common stock and excluding any potential purchases in this offering by the persons and entities named in the table below and assuming no issuance of the Series A Preferred Stock Additional Issuance Shares. In computing the number of shares beneficially owned by a person and the percentage ownership of such person, we deemed to be outstanding all shares subject to options held by the person that are currently exercisable, or exercisable within 60 days of September 30, 2021, and all RSUs that will vest within 60 days of September 30, 2021. However, except as described above, we did not deem such shares outstanding for the purpose of computing the percentage ownership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134</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otherwise indicated, the address of each beneficial owner listed below is c/o NerdWallet, Inc., 875 Stevenson St., 5th Floor, San Francisco, CA 94103.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tcPr>
          <w:p>
            <w:pPr>
              <w:jc w:val="center"/>
              <w:ind w:left="150"/>
              <w:spacing w:after="0"/>
              <w:rPr>
                <w:sz w:val="20"/>
                <w:szCs w:val="20"/>
                <w:color w:val="auto"/>
              </w:rPr>
            </w:pPr>
            <w:r>
              <w:rPr>
                <w:rFonts w:ascii="Arial" w:cs="Arial" w:eastAsia="Arial" w:hAnsi="Arial"/>
                <w:sz w:val="13"/>
                <w:szCs w:val="13"/>
                <w:b w:val="1"/>
                <w:bCs w:val="1"/>
                <w:color w:val="auto"/>
                <w:w w:val="85"/>
              </w:rPr>
              <w:t>Shares Beneficially</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4"/>
          </w:tcPr>
          <w:p>
            <w:pPr>
              <w:jc w:val="center"/>
              <w:ind w:left="149"/>
              <w:spacing w:after="0"/>
              <w:rPr>
                <w:sz w:val="20"/>
                <w:szCs w:val="20"/>
                <w:color w:val="auto"/>
              </w:rPr>
            </w:pPr>
            <w:r>
              <w:rPr>
                <w:rFonts w:ascii="Arial" w:cs="Arial" w:eastAsia="Arial" w:hAnsi="Arial"/>
                <w:sz w:val="13"/>
                <w:szCs w:val="13"/>
                <w:b w:val="1"/>
                <w:bCs w:val="1"/>
                <w:color w:val="auto"/>
                <w:w w:val="86"/>
              </w:rPr>
              <w:t>Shares Beneficially Owned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center"/>
              <w:ind w:left="190"/>
              <w:spacing w:after="0"/>
              <w:rPr>
                <w:sz w:val="20"/>
                <w:szCs w:val="20"/>
                <w:color w:val="auto"/>
              </w:rPr>
            </w:pPr>
            <w:r>
              <w:rPr>
                <w:rFonts w:ascii="Arial" w:cs="Arial" w:eastAsia="Arial" w:hAnsi="Arial"/>
                <w:sz w:val="13"/>
                <w:szCs w:val="13"/>
                <w:b w:val="1"/>
                <w:bCs w:val="1"/>
                <w:color w:val="auto"/>
                <w:w w:val="90"/>
              </w:rPr>
              <w:t>Owned Prior to Offering</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2"/>
              </w:rPr>
              <w:t>After Offering</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320" w:type="dxa"/>
            <w:vAlign w:val="bottom"/>
          </w:tcPr>
          <w:p>
            <w:pPr>
              <w:spacing w:after="0"/>
              <w:rPr>
                <w:sz w:val="24"/>
                <w:szCs w:val="24"/>
                <w:color w:val="auto"/>
              </w:rPr>
            </w:pPr>
          </w:p>
        </w:tc>
        <w:tc>
          <w:tcPr>
            <w:tcW w:w="1820" w:type="dxa"/>
            <w:vAlign w:val="bottom"/>
            <w:gridSpan w:val="4"/>
            <w:vMerge w:val="restart"/>
          </w:tcPr>
          <w:p>
            <w:pPr>
              <w:jc w:val="right"/>
              <w:ind w:right="320"/>
              <w:spacing w:after="0"/>
              <w:rPr>
                <w:sz w:val="20"/>
                <w:szCs w:val="20"/>
                <w:color w:val="auto"/>
              </w:rPr>
            </w:pPr>
            <w:r>
              <w:rPr>
                <w:rFonts w:ascii="Arial" w:cs="Arial" w:eastAsia="Arial" w:hAnsi="Arial"/>
                <w:sz w:val="13"/>
                <w:szCs w:val="13"/>
                <w:b w:val="1"/>
                <w:bCs w:val="1"/>
                <w:color w:val="auto"/>
              </w:rPr>
              <w:t>Class A Common Stock</w:t>
            </w:r>
          </w:p>
        </w:tc>
        <w:tc>
          <w:tcPr>
            <w:tcW w:w="1760" w:type="dxa"/>
            <w:vAlign w:val="bottom"/>
            <w:gridSpan w:val="3"/>
            <w:vMerge w:val="restart"/>
          </w:tcPr>
          <w:p>
            <w:pPr>
              <w:jc w:val="right"/>
              <w:ind w:right="189"/>
              <w:spacing w:after="0"/>
              <w:rPr>
                <w:sz w:val="20"/>
                <w:szCs w:val="20"/>
                <w:color w:val="auto"/>
              </w:rPr>
            </w:pPr>
            <w:r>
              <w:rPr>
                <w:rFonts w:ascii="Arial" w:cs="Arial" w:eastAsia="Arial" w:hAnsi="Arial"/>
                <w:sz w:val="13"/>
                <w:szCs w:val="13"/>
                <w:b w:val="1"/>
                <w:bCs w:val="1"/>
                <w:color w:val="auto"/>
              </w:rPr>
              <w:t>Class B Common Stock</w:t>
            </w:r>
          </w:p>
        </w:tc>
        <w:tc>
          <w:tcPr>
            <w:tcW w:w="80" w:type="dxa"/>
            <w:vAlign w:val="bottom"/>
          </w:tcPr>
          <w:p>
            <w:pPr>
              <w:spacing w:after="0"/>
              <w:rPr>
                <w:sz w:val="24"/>
                <w:szCs w:val="2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 of Total</w:t>
            </w:r>
          </w:p>
        </w:tc>
        <w:tc>
          <w:tcPr>
            <w:tcW w:w="1760" w:type="dxa"/>
            <w:vAlign w:val="bottom"/>
            <w:gridSpan w:val="3"/>
            <w:vMerge w:val="restart"/>
          </w:tcPr>
          <w:p>
            <w:pPr>
              <w:jc w:val="right"/>
              <w:ind w:right="169"/>
              <w:spacing w:after="0"/>
              <w:rPr>
                <w:sz w:val="20"/>
                <w:szCs w:val="20"/>
                <w:color w:val="auto"/>
              </w:rPr>
            </w:pPr>
            <w:r>
              <w:rPr>
                <w:rFonts w:ascii="Arial" w:cs="Arial" w:eastAsia="Arial" w:hAnsi="Arial"/>
                <w:sz w:val="13"/>
                <w:szCs w:val="13"/>
                <w:b w:val="1"/>
                <w:bCs w:val="1"/>
                <w:color w:val="auto"/>
              </w:rPr>
              <w:t>Class A Common Stock</w:t>
            </w:r>
          </w:p>
        </w:tc>
        <w:tc>
          <w:tcPr>
            <w:tcW w:w="100" w:type="dxa"/>
            <w:vAlign w:val="bottom"/>
          </w:tcPr>
          <w:p>
            <w:pPr>
              <w:spacing w:after="0"/>
              <w:rPr>
                <w:sz w:val="24"/>
                <w:szCs w:val="24"/>
                <w:color w:val="auto"/>
              </w:rPr>
            </w:pPr>
          </w:p>
        </w:tc>
        <w:tc>
          <w:tcPr>
            <w:tcW w:w="1760" w:type="dxa"/>
            <w:vAlign w:val="bottom"/>
            <w:gridSpan w:val="3"/>
            <w:vMerge w:val="restart"/>
          </w:tcPr>
          <w:p>
            <w:pPr>
              <w:jc w:val="right"/>
              <w:ind w:right="169"/>
              <w:spacing w:after="0"/>
              <w:rPr>
                <w:sz w:val="20"/>
                <w:szCs w:val="20"/>
                <w:color w:val="auto"/>
              </w:rPr>
            </w:pPr>
            <w:r>
              <w:rPr>
                <w:rFonts w:ascii="Arial" w:cs="Arial" w:eastAsia="Arial" w:hAnsi="Arial"/>
                <w:sz w:val="13"/>
                <w:szCs w:val="13"/>
                <w:b w:val="1"/>
                <w:bCs w:val="1"/>
                <w:color w:val="auto"/>
              </w:rPr>
              <w:t>Class B Common Stock</w:t>
            </w:r>
          </w:p>
        </w:tc>
        <w:tc>
          <w:tcPr>
            <w:tcW w:w="1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3"/>
                <w:szCs w:val="13"/>
                <w:b w:val="1"/>
                <w:bCs w:val="1"/>
                <w:color w:val="auto"/>
                <w:w w:val="99"/>
              </w:rPr>
              <w:t>% of Total</w:t>
            </w:r>
          </w:p>
        </w:tc>
        <w:tc>
          <w:tcPr>
            <w:tcW w:w="0" w:type="dxa"/>
            <w:vAlign w:val="bottom"/>
          </w:tcPr>
          <w:p>
            <w:pPr>
              <w:spacing w:after="0"/>
              <w:rPr>
                <w:sz w:val="1"/>
                <w:szCs w:val="1"/>
                <w:color w:val="auto"/>
              </w:rPr>
            </w:pPr>
          </w:p>
        </w:tc>
      </w:tr>
      <w:tr>
        <w:trPr>
          <w:trHeight w:val="97"/>
        </w:trPr>
        <w:tc>
          <w:tcPr>
            <w:tcW w:w="2320" w:type="dxa"/>
            <w:vAlign w:val="bottom"/>
          </w:tcPr>
          <w:p>
            <w:pPr>
              <w:spacing w:after="0"/>
              <w:rPr>
                <w:sz w:val="8"/>
                <w:szCs w:val="8"/>
                <w:color w:val="auto"/>
              </w:rPr>
            </w:pPr>
          </w:p>
        </w:tc>
        <w:tc>
          <w:tcPr>
            <w:tcW w:w="1820" w:type="dxa"/>
            <w:vAlign w:val="bottom"/>
            <w:gridSpan w:val="4"/>
            <w:vMerge w:val="continue"/>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80"/>
              <w:spacing w:after="0" w:line="106" w:lineRule="exact"/>
              <w:rPr>
                <w:sz w:val="20"/>
                <w:szCs w:val="20"/>
                <w:color w:val="auto"/>
              </w:rPr>
            </w:pPr>
            <w:r>
              <w:rPr>
                <w:rFonts w:ascii="Arial" w:cs="Arial" w:eastAsia="Arial" w:hAnsi="Arial"/>
                <w:sz w:val="12"/>
                <w:szCs w:val="12"/>
                <w:b w:val="1"/>
                <w:bCs w:val="1"/>
                <w:color w:val="auto"/>
                <w:w w:val="90"/>
              </w:rPr>
              <w:t>Voting</w:t>
            </w:r>
          </w:p>
        </w:tc>
        <w:tc>
          <w:tcPr>
            <w:tcW w:w="17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ind w:right="119"/>
              <w:spacing w:after="0" w:line="106" w:lineRule="exact"/>
              <w:rPr>
                <w:sz w:val="20"/>
                <w:szCs w:val="20"/>
                <w:color w:val="auto"/>
              </w:rPr>
            </w:pPr>
            <w:r>
              <w:rPr>
                <w:rFonts w:ascii="Arial" w:cs="Arial" w:eastAsia="Arial" w:hAnsi="Arial"/>
                <w:sz w:val="12"/>
                <w:szCs w:val="12"/>
                <w:b w:val="1"/>
                <w:bCs w:val="1"/>
                <w:color w:val="auto"/>
              </w:rPr>
              <w:t>Voting</w:t>
            </w:r>
          </w:p>
        </w:tc>
        <w:tc>
          <w:tcPr>
            <w:tcW w:w="0" w:type="dxa"/>
            <w:vAlign w:val="bottom"/>
          </w:tcPr>
          <w:p>
            <w:pPr>
              <w:spacing w:after="0"/>
              <w:rPr>
                <w:sz w:val="1"/>
                <w:szCs w:val="1"/>
                <w:color w:val="auto"/>
              </w:rPr>
            </w:pPr>
          </w:p>
        </w:tc>
      </w:tr>
      <w:tr>
        <w:trPr>
          <w:trHeight w:val="29"/>
        </w:trPr>
        <w:tc>
          <w:tcPr>
            <w:tcW w:w="2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14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580" w:type="dxa"/>
            <w:vAlign w:val="bottom"/>
          </w:tcPr>
          <w:p>
            <w:pPr>
              <w:jc w:val="right"/>
              <w:ind w:right="15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600" w:type="dxa"/>
            <w:vAlign w:val="bottom"/>
          </w:tcPr>
          <w:p>
            <w:pPr>
              <w:jc w:val="right"/>
              <w:ind w:right="16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Power</w:t>
            </w:r>
          </w:p>
        </w:tc>
        <w:tc>
          <w:tcPr>
            <w:tcW w:w="116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600" w:type="dxa"/>
            <w:vAlign w:val="bottom"/>
          </w:tcPr>
          <w:p>
            <w:pPr>
              <w:jc w:val="right"/>
              <w:ind w:right="16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600" w:type="dxa"/>
            <w:vAlign w:val="bottom"/>
          </w:tcPr>
          <w:p>
            <w:pPr>
              <w:jc w:val="right"/>
              <w:ind w:right="16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720" w:type="dxa"/>
            <w:vAlign w:val="bottom"/>
          </w:tcPr>
          <w:p>
            <w:pPr>
              <w:jc w:val="right"/>
              <w:ind w:right="139"/>
              <w:spacing w:after="0"/>
              <w:rPr>
                <w:sz w:val="20"/>
                <w:szCs w:val="20"/>
                <w:color w:val="auto"/>
              </w:rPr>
            </w:pPr>
            <w:r>
              <w:rPr>
                <w:rFonts w:ascii="Arial" w:cs="Arial" w:eastAsia="Arial" w:hAnsi="Arial"/>
                <w:sz w:val="13"/>
                <w:szCs w:val="13"/>
                <w:b w:val="1"/>
                <w:bCs w:val="1"/>
                <w:color w:val="auto"/>
              </w:rPr>
              <w:t>Power</w:t>
            </w:r>
          </w:p>
        </w:tc>
        <w:tc>
          <w:tcPr>
            <w:tcW w:w="0" w:type="dxa"/>
            <w:vAlign w:val="bottom"/>
          </w:tcPr>
          <w:p>
            <w:pPr>
              <w:spacing w:after="0"/>
              <w:rPr>
                <w:sz w:val="1"/>
                <w:szCs w:val="1"/>
                <w:color w:val="auto"/>
              </w:rPr>
            </w:pPr>
          </w:p>
        </w:tc>
      </w:tr>
      <w:tr>
        <w:trPr>
          <w:trHeight w:val="29"/>
        </w:trPr>
        <w:tc>
          <w:tcPr>
            <w:tcW w:w="2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5% Stockholders</w:t>
            </w: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4"/>
                <w:szCs w:val="14"/>
                <w:color w:val="auto"/>
              </w:rPr>
              <w:t>Innovius Capital Sirius I L.P.</w:t>
            </w:r>
            <w:r>
              <w:rPr>
                <w:rFonts w:ascii="Arial" w:cs="Arial" w:eastAsia="Arial" w:hAnsi="Arial"/>
                <w:sz w:val="18"/>
                <w:szCs w:val="18"/>
                <w:color w:val="auto"/>
                <w:vertAlign w:val="superscript"/>
              </w:rPr>
              <w:t>(1)</w:t>
            </w:r>
          </w:p>
        </w:tc>
        <w:tc>
          <w:tcPr>
            <w:tcW w:w="1040" w:type="dxa"/>
            <w:vAlign w:val="bottom"/>
          </w:tcPr>
          <w:p>
            <w:pPr>
              <w:jc w:val="right"/>
              <w:spacing w:after="0"/>
              <w:rPr>
                <w:sz w:val="20"/>
                <w:szCs w:val="20"/>
                <w:color w:val="auto"/>
              </w:rPr>
            </w:pPr>
            <w:r>
              <w:rPr>
                <w:rFonts w:ascii="Arial" w:cs="Arial" w:eastAsia="Arial" w:hAnsi="Arial"/>
                <w:sz w:val="14"/>
                <w:szCs w:val="14"/>
                <w:color w:val="auto"/>
              </w:rPr>
              <w:t>5,209,366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5,209,366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Institutional Venture Partners XIV L.P.</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4,454,541</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4,454,541</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5"/>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9"/>
                <w:szCs w:val="9"/>
                <w:color w:val="auto"/>
              </w:rPr>
              <w:t>(2)</w:t>
            </w:r>
          </w:p>
        </w:tc>
        <w:tc>
          <w:tcPr>
            <w:tcW w:w="104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vMerge w:val="continue"/>
            <w:shd w:val="clear" w:color="auto" w:fill="CCEEFF"/>
          </w:tcPr>
          <w:p>
            <w:pPr>
              <w:spacing w:after="0"/>
              <w:rPr>
                <w:sz w:val="13"/>
                <w:szCs w:val="13"/>
                <w:color w:val="auto"/>
              </w:rPr>
            </w:pPr>
          </w:p>
        </w:tc>
        <w:tc>
          <w:tcPr>
            <w:tcW w:w="600" w:type="dxa"/>
            <w:vAlign w:val="bottom"/>
            <w:tcBorders>
              <w:bottom w:val="single" w:sz="8" w:color="CCEEFF"/>
            </w:tcBorders>
            <w:vMerge w:val="continue"/>
            <w:shd w:val="clear" w:color="auto" w:fill="CCEEFF"/>
          </w:tcPr>
          <w:p>
            <w:pPr>
              <w:spacing w:after="0"/>
              <w:rPr>
                <w:sz w:val="13"/>
                <w:szCs w:val="13"/>
                <w:color w:val="auto"/>
              </w:rPr>
            </w:pPr>
          </w:p>
        </w:tc>
        <w:tc>
          <w:tcPr>
            <w:tcW w:w="80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vMerge w:val="continue"/>
            <w:shd w:val="clear" w:color="auto" w:fill="CCEEFF"/>
          </w:tcPr>
          <w:p>
            <w:pPr>
              <w:spacing w:after="0"/>
              <w:rPr>
                <w:sz w:val="13"/>
                <w:szCs w:val="13"/>
                <w:color w:val="auto"/>
              </w:rPr>
            </w:pPr>
          </w:p>
        </w:tc>
        <w:tc>
          <w:tcPr>
            <w:tcW w:w="600" w:type="dxa"/>
            <w:vAlign w:val="bottom"/>
            <w:tcBorders>
              <w:bottom w:val="single" w:sz="8" w:color="CCEEFF"/>
            </w:tcBorders>
            <w:vMerge w:val="continue"/>
            <w:shd w:val="clear" w:color="auto" w:fill="CCEEFF"/>
          </w:tcPr>
          <w:p>
            <w:pPr>
              <w:spacing w:after="0"/>
              <w:rPr>
                <w:sz w:val="13"/>
                <w:szCs w:val="13"/>
                <w:color w:val="auto"/>
              </w:rPr>
            </w:pPr>
          </w:p>
        </w:tc>
        <w:tc>
          <w:tcPr>
            <w:tcW w:w="820" w:type="dxa"/>
            <w:vAlign w:val="bottom"/>
            <w:tcBorders>
              <w:bottom w:val="single" w:sz="8" w:color="CCEEFF"/>
            </w:tcBorders>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4"/>
                <w:szCs w:val="14"/>
                <w:color w:val="auto"/>
              </w:rPr>
              <w:t xml:space="preserve">RRE Ventures </w:t>
            </w:r>
            <w:r>
              <w:rPr>
                <w:rFonts w:ascii="Arial" w:cs="Arial" w:eastAsia="Arial" w:hAnsi="Arial"/>
                <w:sz w:val="18"/>
                <w:szCs w:val="18"/>
                <w:color w:val="auto"/>
                <w:vertAlign w:val="superscript"/>
              </w:rPr>
              <w:t>(3)</w:t>
            </w:r>
          </w:p>
        </w:tc>
        <w:tc>
          <w:tcPr>
            <w:tcW w:w="1040" w:type="dxa"/>
            <w:vAlign w:val="bottom"/>
          </w:tcPr>
          <w:p>
            <w:pPr>
              <w:jc w:val="right"/>
              <w:spacing w:after="0"/>
              <w:rPr>
                <w:sz w:val="20"/>
                <w:szCs w:val="20"/>
                <w:color w:val="auto"/>
              </w:rPr>
            </w:pPr>
            <w:r>
              <w:rPr>
                <w:rFonts w:ascii="Arial" w:cs="Arial" w:eastAsia="Arial" w:hAnsi="Arial"/>
                <w:sz w:val="14"/>
                <w:szCs w:val="14"/>
                <w:color w:val="auto"/>
              </w:rPr>
              <w:t>1,670,452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1,670,452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iGlobe Partners </w:t>
            </w:r>
            <w:r>
              <w:rPr>
                <w:rFonts w:ascii="Arial" w:cs="Arial" w:eastAsia="Arial" w:hAnsi="Arial"/>
                <w:sz w:val="18"/>
                <w:szCs w:val="18"/>
                <w:color w:val="auto"/>
                <w:vertAlign w:val="superscript"/>
              </w:rPr>
              <w:t>(4)</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1,542,530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1,542,530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Arial" w:cs="Arial" w:eastAsia="Arial" w:hAnsi="Arial"/>
                <w:sz w:val="14"/>
                <w:szCs w:val="14"/>
                <w:color w:val="auto"/>
              </w:rPr>
              <w:t>Directors and Named Executive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20" w:type="dxa"/>
            <w:vAlign w:val="bottom"/>
          </w:tcPr>
          <w:p>
            <w:pPr>
              <w:ind w:left="180"/>
              <w:spacing w:after="0"/>
              <w:rPr>
                <w:sz w:val="20"/>
                <w:szCs w:val="20"/>
                <w:color w:val="auto"/>
              </w:rPr>
            </w:pPr>
            <w:r>
              <w:rPr>
                <w:rFonts w:ascii="Arial" w:cs="Arial" w:eastAsia="Arial" w:hAnsi="Arial"/>
                <w:sz w:val="14"/>
                <w:szCs w:val="14"/>
                <w:color w:val="auto"/>
              </w:rPr>
              <w:t>Officers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Tim Chen </w:t>
            </w:r>
            <w:r>
              <w:rPr>
                <w:rFonts w:ascii="Arial" w:cs="Arial" w:eastAsia="Arial" w:hAnsi="Arial"/>
                <w:sz w:val="18"/>
                <w:szCs w:val="18"/>
                <w:color w:val="auto"/>
                <w:vertAlign w:val="superscript"/>
              </w:rPr>
              <w:t>(5)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31,685,652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31,685,652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4"/>
                <w:szCs w:val="14"/>
                <w:color w:val="auto"/>
              </w:rPr>
              <w:t xml:space="preserve">Lauren StClair </w:t>
            </w:r>
            <w:r>
              <w:rPr>
                <w:rFonts w:ascii="Arial" w:cs="Arial" w:eastAsia="Arial" w:hAnsi="Arial"/>
                <w:sz w:val="18"/>
                <w:szCs w:val="18"/>
                <w:color w:val="auto"/>
                <w:vertAlign w:val="superscript"/>
              </w:rPr>
              <w:t>(6)</w:t>
            </w:r>
          </w:p>
        </w:tc>
        <w:tc>
          <w:tcPr>
            <w:tcW w:w="1040" w:type="dxa"/>
            <w:vAlign w:val="bottom"/>
          </w:tcPr>
          <w:p>
            <w:pPr>
              <w:jc w:val="right"/>
              <w:spacing w:after="0"/>
              <w:rPr>
                <w:sz w:val="20"/>
                <w:szCs w:val="20"/>
                <w:color w:val="auto"/>
              </w:rPr>
            </w:pPr>
            <w:r>
              <w:rPr>
                <w:rFonts w:ascii="Arial" w:cs="Arial" w:eastAsia="Arial" w:hAnsi="Arial"/>
                <w:sz w:val="14"/>
                <w:szCs w:val="14"/>
                <w:color w:val="auto"/>
              </w:rPr>
              <w:t>315,000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315,000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Kevin Yuann </w:t>
            </w:r>
            <w:r>
              <w:rPr>
                <w:rFonts w:ascii="Arial" w:cs="Arial" w:eastAsia="Arial" w:hAnsi="Arial"/>
                <w:sz w:val="18"/>
                <w:szCs w:val="18"/>
                <w:color w:val="auto"/>
                <w:vertAlign w:val="superscript"/>
              </w:rPr>
              <w:t>(7)</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4"/>
                <w:szCs w:val="14"/>
                <w:color w:val="auto"/>
              </w:rPr>
              <w:t xml:space="preserve">Laura Onopchenko </w:t>
            </w:r>
            <w:r>
              <w:rPr>
                <w:rFonts w:ascii="Arial" w:cs="Arial" w:eastAsia="Arial" w:hAnsi="Arial"/>
                <w:sz w:val="18"/>
                <w:szCs w:val="18"/>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4"/>
                <w:szCs w:val="14"/>
                <w:color w:val="auto"/>
              </w:rPr>
              <w:t>292,856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292,856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Thomas Loverro</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4"/>
                <w:szCs w:val="14"/>
                <w:color w:val="auto"/>
              </w:rPr>
              <w:t xml:space="preserve">James D. Robinson III </w:t>
            </w:r>
            <w:r>
              <w:rPr>
                <w:rFonts w:ascii="Arial" w:cs="Arial" w:eastAsia="Arial" w:hAnsi="Arial"/>
                <w:sz w:val="18"/>
                <w:szCs w:val="18"/>
                <w:color w:val="auto"/>
                <w:vertAlign w:val="superscript"/>
              </w:rPr>
              <w:t>(3)</w:t>
            </w:r>
          </w:p>
        </w:tc>
        <w:tc>
          <w:tcPr>
            <w:tcW w:w="1040" w:type="dxa"/>
            <w:vAlign w:val="bottom"/>
          </w:tcPr>
          <w:p>
            <w:pPr>
              <w:jc w:val="right"/>
              <w:spacing w:after="0"/>
              <w:rPr>
                <w:sz w:val="20"/>
                <w:szCs w:val="20"/>
                <w:color w:val="auto"/>
              </w:rPr>
            </w:pPr>
            <w:r>
              <w:rPr>
                <w:rFonts w:ascii="Arial" w:cs="Arial" w:eastAsia="Arial" w:hAnsi="Arial"/>
                <w:sz w:val="14"/>
                <w:szCs w:val="14"/>
                <w:color w:val="auto"/>
              </w:rPr>
              <w:t>1,670,452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1,670,452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Jennifer Ceran </w:t>
            </w:r>
            <w:r>
              <w:rPr>
                <w:rFonts w:ascii="Arial" w:cs="Arial" w:eastAsia="Arial" w:hAnsi="Arial"/>
                <w:sz w:val="18"/>
                <w:szCs w:val="18"/>
                <w:color w:val="auto"/>
                <w:vertAlign w:val="superscript"/>
              </w:rPr>
              <w:t>(9)</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4"/>
                <w:szCs w:val="14"/>
                <w:color w:val="auto"/>
              </w:rPr>
              <w:t xml:space="preserve">Lynne Laube </w:t>
            </w:r>
            <w:r>
              <w:rPr>
                <w:rFonts w:ascii="Arial" w:cs="Arial" w:eastAsia="Arial" w:hAnsi="Arial"/>
                <w:sz w:val="18"/>
                <w:szCs w:val="18"/>
                <w:color w:val="auto"/>
                <w:vertAlign w:val="superscript"/>
              </w:rPr>
              <w:t>(10)</w:t>
            </w:r>
          </w:p>
        </w:tc>
        <w:tc>
          <w:tcPr>
            <w:tcW w:w="1040" w:type="dxa"/>
            <w:vAlign w:val="bottom"/>
          </w:tcPr>
          <w:p>
            <w:pPr>
              <w:jc w:val="right"/>
              <w:spacing w:after="0"/>
              <w:rPr>
                <w:sz w:val="20"/>
                <w:szCs w:val="20"/>
                <w:color w:val="auto"/>
              </w:rPr>
            </w:pPr>
            <w:r>
              <w:rPr>
                <w:rFonts w:ascii="Arial" w:cs="Arial" w:eastAsia="Arial" w:hAnsi="Arial"/>
                <w:sz w:val="14"/>
                <w:szCs w:val="14"/>
                <w:color w:val="auto"/>
              </w:rPr>
              <w:t>120,000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120,000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All directors and executive officers as</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a group </w:t>
            </w:r>
            <w:r>
              <w:rPr>
                <w:rFonts w:ascii="Arial" w:cs="Arial" w:eastAsia="Arial" w:hAnsi="Arial"/>
                <w:sz w:val="18"/>
                <w:szCs w:val="18"/>
                <w:color w:val="auto"/>
                <w:vertAlign w:val="superscript"/>
              </w:rPr>
              <w:t>(11)</w:t>
            </w:r>
            <w:r>
              <w:rPr>
                <w:rFonts w:ascii="Arial" w:cs="Arial" w:eastAsia="Arial" w:hAnsi="Arial"/>
                <w:sz w:val="14"/>
                <w:szCs w:val="14"/>
                <w:color w:val="auto"/>
              </w:rPr>
              <w:t xml:space="preserve"> (9 persons)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3,238,577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31,685,652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3,238,577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31,685,652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w:t>
      </w:r>
    </w:p>
    <w:p>
      <w:pPr>
        <w:spacing w:after="0" w:line="2"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beneficial ownership or voting power of less than 1%.</w:t>
      </w:r>
    </w:p>
    <w:p>
      <w:pPr>
        <w:spacing w:after="0" w:line="1" w:lineRule="exact"/>
        <w:rPr>
          <w:sz w:val="20"/>
          <w:szCs w:val="20"/>
          <w:color w:val="auto"/>
        </w:rPr>
      </w:pPr>
    </w:p>
    <w:p>
      <w:pPr>
        <w:jc w:val="both"/>
        <w:ind w:left="340" w:hanging="332"/>
        <w:spacing w:after="0" w:line="241" w:lineRule="auto"/>
        <w:tabs>
          <w:tab w:leader="none" w:pos="332"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sole general partner of Innovius Capital Sirius I L.P. is Innovius Capital GP I, LLC. The sole managing director of Innovius Capital GP I, LLC is Justin Moore. Mr. Moore disclaims beneficial ownership of these securities except to the extent of his respective pecuniary interest therein. The address for this entity is: 2443 Fillmore Street, #380-14279, San Francisco, CA 94115.</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Institutional Venture Management XIV, LLC (”VM XIV” is the General Partner of IVP XIV). IVM XIV may be deemed to indirectly beneficially own the securities owned by IVP XIV. Norman A. Fogelsong, Stephen J. Harrick, Dennis B. Phelps, Jr., Todd C. Chaffee and J. Sanford Miller are Managing Directors of IVM XIV and each share voting and dispositive power over the securities held by IVP XIV. Each disclaims beneficial ownership of these securities except to the extent of his or its respective pecuniary interest therein. The address for this entity is: 3000 Sand Hill Road, Building 2, Suite 250, Menlo Park, CA 94025.</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1,113,635 shares of Class A common stock held by RRE Leaders Fund LP and (ii) 556,817 shares of Class A common stock held by RRE Ventures VI, LP. The sole general partner of RRE Leaders Fund LP is RRE Leaders GP, L.P. The sole general partner of RRE Ventures VI, LP is RRE Ventures GP 6, LP. The managing members and officers of these entities are James D. Robinson IV, Stuart J. Ellman, and William D. Porteous. Each of the foregoing persons disclaims beneficial ownership of these shares except to the extent of his pecuniary interest therein. The address of each of these entities is 150 East 59th Street, 17th Floor, New York, NY 10022.</w:t>
      </w:r>
    </w:p>
    <w:p>
      <w:pPr>
        <w:spacing w:after="0" w:line="1" w:lineRule="exact"/>
        <w:rPr>
          <w:rFonts w:ascii="Arial" w:cs="Arial" w:eastAsia="Arial" w:hAnsi="Arial"/>
          <w:sz w:val="14"/>
          <w:szCs w:val="14"/>
          <w:color w:val="auto"/>
        </w:rPr>
      </w:pPr>
    </w:p>
    <w:p>
      <w:pPr>
        <w:jc w:val="both"/>
        <w:ind w:left="340" w:hanging="332"/>
        <w:spacing w:after="0" w:line="264" w:lineRule="auto"/>
        <w:tabs>
          <w:tab w:leader="none" w:pos="332" w:val="left"/>
        </w:tabs>
        <w:numPr>
          <w:ilvl w:val="0"/>
          <w:numId w:val="89"/>
        </w:numPr>
        <w:rPr>
          <w:rFonts w:ascii="Arial" w:cs="Arial" w:eastAsia="Arial" w:hAnsi="Arial"/>
          <w:sz w:val="13"/>
          <w:szCs w:val="13"/>
          <w:color w:val="auto"/>
        </w:rPr>
      </w:pPr>
      <w:r>
        <w:rPr>
          <w:rFonts w:ascii="Arial" w:cs="Arial" w:eastAsia="Arial" w:hAnsi="Arial"/>
          <w:sz w:val="13"/>
          <w:szCs w:val="13"/>
          <w:color w:val="auto"/>
        </w:rPr>
        <w:t>Consists of (i) 644,328 shares of Class A common stock held by iGlobe Treasury Management Pte. Ltd., (ii) 541,059 shares of Class A common stock held by iGlobe Platinum Fund II Pte. Ltd., and (iii) 357,143 shares of Class A common stock held by iGlobe Platinum Fund III Limited. iGlobe Partners (II) Pte Ltd is the fund manager for each of iGlobe Platinum Fund II Pte. Ltd. and iGlobe Platinum Fund III Limited. The partners of iGlobe Partners (II) Pte Ltd are Yoke Sin Chong, Soo Boon Koh and Kah Joo Ng and each may be deemed to have voting and/or dispositive power over the shares held by iGlobe Platinum Fund II Pte. Ltd. and iGlobe Platinum Fund III Limited. Each of Yoke Sin Chong, Soo Boon Koh and Kah Joo Ng disclaims beneficial ownership of these securities except to the extent of her or his respective pecuniary interest therein. The shares held by iGlobe Treasury Management Pte. Ltd. are managed by a three-member board of directors comprised of Jer Luang Chan, Shihao Koh and Soo Boon Koh and each may be deemed to have voting and/or dispositive power over the shares held by iGlobe Treasury Management Pte. Ltd. Each of Jer Luang Chan, Shihao Koh and Soo Boon Koh disclaims beneficial ownership of these securities except to the extent of her or his respective pecuniary interest therein. The address for each of these entities is 11 Biopolis Way, #09-03 Helios, Singapore 138667.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9" w:lineRule="exact"/>
        <w:rPr>
          <w:sz w:val="20"/>
          <w:szCs w:val="20"/>
          <w:color w:val="auto"/>
        </w:rPr>
      </w:pPr>
    </w:p>
    <w:p>
      <w:pPr>
        <w:jc w:val="both"/>
        <w:ind w:left="332" w:hanging="332"/>
        <w:spacing w:after="0" w:line="263" w:lineRule="auto"/>
        <w:tabs>
          <w:tab w:leader="none" w:pos="324" w:val="left"/>
        </w:tabs>
        <w:numPr>
          <w:ilvl w:val="0"/>
          <w:numId w:val="90"/>
        </w:numPr>
        <w:rPr>
          <w:rFonts w:ascii="Arial" w:cs="Arial" w:eastAsia="Arial" w:hAnsi="Arial"/>
          <w:sz w:val="13"/>
          <w:szCs w:val="13"/>
          <w:color w:val="auto"/>
        </w:rPr>
      </w:pPr>
      <w:r>
        <w:rPr>
          <w:rFonts w:ascii="Arial" w:cs="Arial" w:eastAsia="Arial" w:hAnsi="Arial"/>
          <w:sz w:val="13"/>
          <w:szCs w:val="13"/>
          <w:color w:val="auto"/>
        </w:rPr>
        <w:t>Consists of (i) 14,312,336 shares of Class B common stock held by Tim Chen as Trustee of The Tim Chen Revocable Trust u/a/d 3/11/2016, (ii) 4,517,596 shares of Class B common stock held by Tim Chen, Trustee of The Seed Investor 2019 Annuity Trust u/a/d 8/19/2019, (iii) 4,405,720 shares of Class B common stock held by Tim Chen as Trustee of The Seed Investor Irrevocable Remainder Trust u/a/d 3/11/2016 and (iv) 8,450,000 shares of Class B common stock held by Tim Chen as Trustee of the Seed Investor 2021 Annuity Trust u/a/d 2/25/2021. The Special Trustee of the Seed Investor 2021 Annuity Trust u/a/d 2/25/2021, The Seed Investor 2019 Annuity Trust u/a/d 8/19/2019 and The Seed Investor Irrevocable Remainder Trust u/a/d 3/11/2016, Jessica Davis Mills, has sole voting power over the shares held in such trusts; provided that Mr. Chen, as grantor, may remove and replace the special trustee at any time. In addition, on May 25, 2021, Mr. Chen was granted an option to purchase 475,000 shares of Class A Common Stock, none of which were vested as of September 30, 2021.</w:t>
      </w:r>
    </w:p>
    <w:p>
      <w:pPr>
        <w:spacing w:after="0" w:line="1" w:lineRule="exact"/>
        <w:rPr>
          <w:rFonts w:ascii="Arial" w:cs="Arial" w:eastAsia="Arial" w:hAnsi="Arial"/>
          <w:sz w:val="13"/>
          <w:szCs w:val="13"/>
          <w:color w:val="auto"/>
        </w:rPr>
      </w:pPr>
    </w:p>
    <w:p>
      <w:pPr>
        <w:ind w:left="332" w:right="20" w:hanging="332"/>
        <w:spacing w:after="0" w:line="241" w:lineRule="auto"/>
        <w:tabs>
          <w:tab w:leader="none" w:pos="324"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an option to purchase 315,000 shares of the Company’s Class A common stock granted subject to an early exercise provision and which shares are immediately exercisable, but none of which would be vested within 60 days of September 30, 2021.</w:t>
      </w:r>
    </w:p>
    <w:p>
      <w:pPr>
        <w:ind w:left="332" w:right="20" w:hanging="332"/>
        <w:spacing w:after="0" w:line="260" w:lineRule="auto"/>
        <w:tabs>
          <w:tab w:leader="none" w:pos="324" w:val="left"/>
        </w:tabs>
        <w:numPr>
          <w:ilvl w:val="0"/>
          <w:numId w:val="90"/>
        </w:numPr>
        <w:rPr>
          <w:rFonts w:ascii="Arial" w:cs="Arial" w:eastAsia="Arial" w:hAnsi="Arial"/>
          <w:sz w:val="13"/>
          <w:szCs w:val="13"/>
          <w:color w:val="auto"/>
        </w:rPr>
      </w:pPr>
      <w:r>
        <w:rPr>
          <w:rFonts w:ascii="Arial" w:cs="Arial" w:eastAsia="Arial" w:hAnsi="Arial"/>
          <w:sz w:val="13"/>
          <w:szCs w:val="13"/>
          <w:color w:val="auto"/>
        </w:rPr>
        <w:t>Consists of (i) various options to purchase an aggregate of 167,972 shares of the Company’s Class A common stock, all of which were granted subject to an early exercise provision and which shares are immediately exercisable, of which 99,377 would be vested within 60 days of September 30, 2021 and (ii) 170,747 shares of Class A common stock.</w:t>
      </w:r>
    </w:p>
    <w:p>
      <w:pPr>
        <w:ind w:left="312" w:hanging="312"/>
        <w:spacing w:after="0"/>
        <w:tabs>
          <w:tab w:leader="none" w:pos="312"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an option to purchase 292,856 shares of Class A common stock.</w:t>
      </w:r>
    </w:p>
    <w:p>
      <w:pPr>
        <w:spacing w:after="0" w:line="1" w:lineRule="exact"/>
        <w:rPr>
          <w:rFonts w:ascii="Arial" w:cs="Arial" w:eastAsia="Arial" w:hAnsi="Arial"/>
          <w:sz w:val="14"/>
          <w:szCs w:val="14"/>
          <w:color w:val="auto"/>
        </w:rPr>
      </w:pPr>
    </w:p>
    <w:p>
      <w:pPr>
        <w:ind w:left="332" w:hanging="332"/>
        <w:spacing w:after="0" w:line="241" w:lineRule="auto"/>
        <w:tabs>
          <w:tab w:leader="none" w:pos="324"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an option to purchase 120,000 shares of Class A common stock granted subject to an early exercise provision and which shares are immediately exercisable, 40,000 of which which would be vested within 60 days of September 30, 2021.</w:t>
      </w:r>
    </w:p>
    <w:p>
      <w:pPr>
        <w:ind w:left="332" w:hanging="332"/>
        <w:spacing w:after="0" w:line="241" w:lineRule="auto"/>
        <w:tabs>
          <w:tab w:leader="none" w:pos="329"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an option to purchase 120,000 shares of Class A common stock granted subject to an early exercise provision and which shares are immediately exercisable, 30,000 of which would be vested within 60 days of September 30, 2021.</w:t>
      </w:r>
    </w:p>
    <w:p>
      <w:pPr>
        <w:ind w:left="332" w:hanging="332"/>
        <w:spacing w:after="0" w:line="255" w:lineRule="auto"/>
        <w:tabs>
          <w:tab w:leader="none" w:pos="323"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(i) 1,628,155 shares of common stock issuable upon exercise of early exercisable stock options, subject to a repurchase right until vested, 430,141 of which would be vested within 60 days of September 30, 2021, and (ii) 1,850,442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136</w:t>
      </w:r>
    </w:p>
    <w:p>
      <w:pPr>
        <w:sectPr>
          <w:pgSz w:w="11900" w:h="16838" w:orient="portrait"/>
          <w:cols w:equalWidth="0" w:num="1">
            <w:col w:w="11232"/>
          </w:cols>
          <w:pgMar w:left="328" w:top="1440" w:right="339" w:bottom="1440" w:gutter="0" w:footer="0" w:header="0"/>
        </w:sectPr>
      </w:pPr>
    </w:p>
    <w:bookmarkStart w:id="144" w:name="page145"/>
    <w:bookmarkEnd w:id="14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 TO NON-U.S. HOLDERS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following is a summary of the material U.S. federal income tax consequences to non-U.S. holders (as defined below) of the acquisition,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also does not address any U.S. federal non-income tax consequences, such as estate or gift tax consequences or any tax consequences arising under any state, local or foreign tax laws. This discussion is based on the Internal Revenue Code of 1986, as amended, or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and will not request a ruling from the IRS with respect to the statements made and the conclusions reached in the following summary, and there can be no assurance that the IRS or a court will agree with such statements and conclusions.</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 non-U.S. holder in light of such holder’s particular circumstances. This discussion also does not consider any specific facts or circumstances that may be relevant to non-U.S. holders subject to special rules under the U.S. federal income tax laws, including:</w:t>
      </w:r>
    </w:p>
    <w:p>
      <w:pPr>
        <w:spacing w:after="0" w:line="134"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pass-through or disregarded entities for U.S. federal income tax purposes (and investors therein);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hedging or conversion transaction or straddle, or synthetic security, or a constructive sale, or other risk reduction strategy or integrated investment;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137</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an entity or arrangement that is classified as a partnership for U.S. federal income tax purposes holds our Class A common stock, the U.S. federal income tax treatment of a partner in the partnership will generally depend on the status of the partner, the activities of the partnership and certain determinations made at the partner level.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30"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thereof or the District of Columbia;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described in the section entitled “Dividend Policy” we have never declared or paid cash dividends on our capital stock and we do not anticipate paying any cash dividends in the foreseeable future.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Class A common stock, but not below zero. Any excess will be treated as gain realized on the sale or other disposition of our Class A common stock and will be treated as described under the section titled “—Gain on Disposition of Our Class A Common Stock” below.</w:t>
      </w:r>
    </w:p>
    <w:p>
      <w:pPr>
        <w:spacing w:after="0" w:line="14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the discussions below regarding effectively connected income, backup withholding and Sections 1471 through 1474 of the Code (commonly referred to as FATCA),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other applicable documentation) and satisfy applicable certification and other requirements.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138</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 non-U.S. holder holds our Class A common stock in connection with the conduct of a trade or business in the United States, and dividends paid on our Class A common stock are effectively connected with such holder’s U.S. trade or business (and, if required by an applicable tax treaty, are attributable to such holder’s permanent establishment in the United States), the non-U.S. holder will be exempt from U.S. federal withholding tax. To claim the exemption, the non-U.S. holder must generally furnish a valid IRS Form W-8ECI (or applicable successor form) to the applicable withholding agent, certifying that the dividends are effectively connected with the non-U.S. Holder’s conduct of a trade or business within the United States.</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dividends, as adjusted for certain items. Non-U.S. holders should consult their tax advisors regarding any applicable income tax treaties that may provide for different rules.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Class A common stock, unless:</w:t>
      </w:r>
    </w:p>
    <w:p>
      <w:pPr>
        <w:spacing w:after="0" w:line="116" w:lineRule="exact"/>
        <w:rPr>
          <w:sz w:val="20"/>
          <w:szCs w:val="20"/>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16"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93"/>
        </w:numPr>
        <w:rPr>
          <w:rFonts w:ascii="Arial" w:cs="Arial" w:eastAsia="Arial" w:hAnsi="Arial"/>
          <w:sz w:val="16"/>
          <w:szCs w:val="16"/>
          <w:color w:val="auto"/>
        </w:rPr>
      </w:pPr>
      <w:r>
        <w:rPr>
          <w:rFonts w:ascii="Arial" w:cs="Arial" w:eastAsia="Arial" w:hAnsi="Arial"/>
          <w:sz w:val="16"/>
          <w:szCs w:val="16"/>
          <w:color w:val="auto"/>
        </w:rPr>
        <w:t>we are or become a United States real property holding corporation, or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 If we are a or become a USRPHC at any time within the shorter of the five-year period preceding the disposition or the non-U.S. holder’s holding period for our Class A common stock and our Class A common stock is not regularly traded on an established securities market, such non-U.S. holder will generally be taxed on any gain in the same manner as gain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139</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effectively connected with the conduct of a U.S. trade or business, except that the branch profits tax generally will not apply. Prospective investors are encouraged to consult their own tax advisors regarding the possible consequences to them if we are, or were to become, a USRPHC.</w:t>
      </w:r>
    </w:p>
    <w:p>
      <w:pPr>
        <w:spacing w:after="0" w:line="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and Backup Withholding</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amount of distributions on our Class A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Foreign Entities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Class A common stock. Under applicable Treasury Regulations and administrative guidance, withholding under FATCA would have applied to payments of gross proceeds from the sale or other disposition of stock on or after January 1, 2019, but under proposed regulations (the preamble to which specifies that taxpayers are permitted to rely on such proposed regulations pending finalization), no withholding would apply with respect to payments of gross proceeds.</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Class A common stock.</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PROSPECTIVE INVESTOR SHOULD CONSULT ITS OWN TAX ADVISOR REGARDING THE TAX CONSEQUENCES OF ACQUIRING, OWNING AND DISPOSING OF OUR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140</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 INCLUDING THE CONSEQUENCES OF ANY RECENT AND PROPOSED CHANGES IN APPLICABLE LAW, AS WELL AS TAX CONSEQUENCES ARISING UNDER ANY STATE, LOCAL, FOREIGN OR U.S. FEDERAL NON-INCOME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141</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KeyBanc Capital Markets Inc. and BofA Securities, Inc. are acting as representatives, will severally agree to purchase, and we will agree to sell to them, severally, the number of shares indicated below:</w:t>
      </w:r>
    </w:p>
    <w:p>
      <w:pPr>
        <w:spacing w:after="0" w:line="175" w:lineRule="exact"/>
        <w:rPr>
          <w:sz w:val="20"/>
          <w:szCs w:val="20"/>
          <w:color w:val="auto"/>
        </w:rPr>
      </w:pPr>
    </w:p>
    <w:p>
      <w:pPr>
        <w:ind w:left="4620"/>
        <w:spacing w:after="0"/>
        <w:tabs>
          <w:tab w:leader="none" w:pos="98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Morgan Stanley &amp; Co.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Barclays Capital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Truist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Blair &amp; Company,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Oppenheimer &amp; Co. Inc.</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9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will provide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2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Class A common stock, the offering price and other selling terms may from time to time be varied by the representatives.</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1,087,500 additional shares of Class A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1,087,500 shares of Class A common stock.</w:t>
      </w:r>
    </w:p>
    <w:p>
      <w:pPr>
        <w:spacing w:after="0" w:line="175"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32385</wp:posOffset>
            </wp:positionV>
            <wp:extent cx="21856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49" w:lineRule="exact"/>
        <w:rPr>
          <w:sz w:val="20"/>
          <w:szCs w:val="20"/>
          <w:color w:val="auto"/>
        </w:rPr>
      </w:pPr>
    </w:p>
    <w:p>
      <w:pPr>
        <w:ind w:left="6560"/>
        <w:spacing w:after="0"/>
        <w:tabs>
          <w:tab w:leader="none" w:pos="8260" w:val="left"/>
          <w:tab w:leader="none" w:pos="9980" w:val="left"/>
        </w:tabs>
        <w:rPr>
          <w:sz w:val="20"/>
          <w:szCs w:val="20"/>
          <w:color w:val="auto"/>
        </w:rPr>
      </w:pPr>
      <w:r>
        <w:rPr>
          <w:rFonts w:ascii="Arial" w:cs="Arial" w:eastAsia="Arial" w:hAnsi="Arial"/>
          <w:sz w:val="14"/>
          <w:szCs w:val="14"/>
          <w:b w:val="1"/>
          <w:bCs w:val="1"/>
          <w:color w:val="auto"/>
        </w:rPr>
        <w:t>Per Share</w:t>
      </w:r>
      <w:r>
        <w:rPr>
          <w:sz w:val="20"/>
          <w:szCs w:val="20"/>
          <w:color w:val="auto"/>
        </w:rPr>
        <w:tab/>
      </w:r>
      <w:r>
        <w:rPr>
          <w:rFonts w:ascii="Arial" w:cs="Arial" w:eastAsia="Arial" w:hAnsi="Arial"/>
          <w:sz w:val="14"/>
          <w:szCs w:val="14"/>
          <w:b w:val="1"/>
          <w:bCs w:val="1"/>
          <w:color w:val="auto"/>
        </w:rPr>
        <w:t>No Exercise</w:t>
      </w:r>
      <w:r>
        <w:rPr>
          <w:sz w:val="20"/>
          <w:szCs w:val="20"/>
          <w:color w:val="auto"/>
        </w:rPr>
        <w:tab/>
      </w:r>
      <w:r>
        <w:rPr>
          <w:rFonts w:ascii="Arial" w:cs="Arial" w:eastAsia="Arial" w:hAnsi="Arial"/>
          <w:sz w:val="12"/>
          <w:szCs w:val="12"/>
          <w:b w:val="1"/>
          <w:bCs w:val="1"/>
          <w:color w:val="auto"/>
        </w:rPr>
        <w:t>Full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Public offering price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Underwriting discounts and commissions to be 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40640</wp:posOffset>
            </wp:positionV>
            <wp:extent cx="33089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$5.0 million. We have agreed to reimburse the underwriters for expenses relating to clearance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142</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offering with the Financial Industry Regulatory Authority up to $45,000. The underwriters have agreed to reimburse us for certain expenses incurred by us in connection with this offering upon closing of this offering.</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our Class A common stock on Nasdaq under the trading symbol “NRDS”.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 and all directors and officers and the holders of all of our outstanding stock and stock options have agreed that without the prior written consent of Morgan Stanley &amp; Co. LLC and KeyBanc Capital Markets Inc. on behalf of the underwriters, subject to certain exceptions, we and they will not, and will not publicly disclose an intention to, during the period ending 180 days after the date of this prospectus, or the restricted period:</w:t>
      </w:r>
    </w:p>
    <w:p>
      <w:pPr>
        <w:spacing w:after="0" w:line="111" w:lineRule="exact"/>
        <w:rPr>
          <w:sz w:val="20"/>
          <w:szCs w:val="20"/>
          <w:color w:val="auto"/>
        </w:rPr>
      </w:pPr>
    </w:p>
    <w:p>
      <w:pPr>
        <w:jc w:val="both"/>
        <w:ind w:left="660" w:hanging="328"/>
        <w:spacing w:after="0" w:line="263" w:lineRule="auto"/>
        <w:tabs>
          <w:tab w:leader="none" w:pos="653" w:val="left"/>
        </w:tabs>
        <w:numPr>
          <w:ilvl w:val="0"/>
          <w:numId w:val="94"/>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shares of our Class A common stock;</w:t>
      </w:r>
    </w:p>
    <w:p>
      <w:pPr>
        <w:spacing w:after="0" w:line="129" w:lineRule="exact"/>
        <w:rPr>
          <w:rFonts w:ascii="Arial" w:cs="Arial" w:eastAsia="Arial" w:hAnsi="Arial"/>
          <w:sz w:val="18"/>
          <w:szCs w:val="18"/>
          <w:color w:val="auto"/>
        </w:rPr>
      </w:pPr>
    </w:p>
    <w:p>
      <w:pPr>
        <w:ind w:left="660" w:hanging="328"/>
        <w:spacing w:after="0" w:line="277" w:lineRule="auto"/>
        <w:tabs>
          <w:tab w:leader="none" w:pos="6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Class A common stock or any securities convertible into or exercisable or exchangeable for our Class A common stock; or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Class A common stock, whether any such transaction described above is to be settled by delivery of our Class A common stock or such other securities, in cash or otherwise.</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we and each such person agrees that, without the prior written consent of Morgan Stanley &amp; Co. LLC and KeyBanc Capital Markets Inc. on behalf of the underwriters, we or such other person will not, during the restricted period, make any demand for, or exercise any right with respect to, the registration of any shares of Class A common stock or any security convertible into or exercisable or exchangeable for Class A common stock.</w:t>
      </w:r>
    </w:p>
    <w:p>
      <w:pPr>
        <w:spacing w:after="0" w:line="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Notwithstanding the foregoing, up to an aggregate of 25% of our vested Class A common stock and other vested securities convertible into or exercisable or exchangeable for our Class A common stock owned as of 10 trading days prior to the early release date (as defined below) by (i) our current or former employees, (ii) our current directors or officers, but excluding our chief executive officer and chief financial officer, or (iii) any other security holder will be automatically released from the lock-up restrictions immediately prior to the opening of trading on Nasdaq on the third trading day immediately following our first public release of earnings, or the early release date; provided that the last reported closing price of the Class A common stock on Nasdaq must be at least 20% greater than the initial public offering price per share set forth on the cover page of this prospectus on (a) any 10 of the prior 15 trading days leading up to the public release of earnings and (b) the closing of the last full trading day immediately prior to the early release date.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restrictions described in (A)-(C) above are subject to certain exceptions, including the following:</w:t>
      </w:r>
    </w:p>
    <w:p>
      <w:pPr>
        <w:spacing w:after="0" w:line="171" w:lineRule="exact"/>
        <w:rPr>
          <w:sz w:val="20"/>
          <w:szCs w:val="20"/>
          <w:color w:val="auto"/>
        </w:rPr>
      </w:pPr>
    </w:p>
    <w:p>
      <w:pPr>
        <w:jc w:val="both"/>
        <w:ind w:left="660" w:hanging="328"/>
        <w:spacing w:after="0" w:line="286" w:lineRule="auto"/>
        <w:tabs>
          <w:tab w:leader="none" w:pos="657" w:val="left"/>
        </w:tabs>
        <w:numPr>
          <w:ilvl w:val="0"/>
          <w:numId w:val="95"/>
        </w:numPr>
        <w:rPr>
          <w:rFonts w:ascii="Arial" w:cs="Arial" w:eastAsia="Arial" w:hAnsi="Arial"/>
          <w:sz w:val="17"/>
          <w:szCs w:val="17"/>
          <w:color w:val="auto"/>
        </w:rPr>
      </w:pPr>
      <w:r>
        <w:rPr>
          <w:rFonts w:ascii="Arial" w:cs="Arial" w:eastAsia="Arial" w:hAnsi="Arial"/>
          <w:sz w:val="17"/>
          <w:szCs w:val="17"/>
          <w:color w:val="auto"/>
        </w:rPr>
        <w:t>transactions relating to shares of our Class A common stock or other securities acquired in this offering or in open market transactions after the completion of this offering, provided that no filing under Section 16(a) of the Exchange Act shall be required or shall be voluntarily made in connection with subsequent sales of Class A common stock or other securities acquired in this offering or such open market transactions;</w:t>
      </w:r>
    </w:p>
    <w:p>
      <w:pPr>
        <w:spacing w:after="0" w:line="111" w:lineRule="exact"/>
        <w:rPr>
          <w:rFonts w:ascii="Arial" w:cs="Arial" w:eastAsia="Arial" w:hAnsi="Arial"/>
          <w:sz w:val="17"/>
          <w:szCs w:val="17"/>
          <w:color w:val="auto"/>
        </w:rPr>
      </w:pPr>
    </w:p>
    <w:p>
      <w:pPr>
        <w:jc w:val="both"/>
        <w:ind w:left="660" w:hanging="328"/>
        <w:spacing w:after="0" w:line="273" w:lineRule="auto"/>
        <w:tabs>
          <w:tab w:leader="none" w:pos="654" w:val="left"/>
        </w:tabs>
        <w:numPr>
          <w:ilvl w:val="0"/>
          <w:numId w:val="95"/>
        </w:numPr>
        <w:rPr>
          <w:rFonts w:ascii="Arial" w:cs="Arial" w:eastAsia="Arial" w:hAnsi="Arial"/>
          <w:sz w:val="17"/>
          <w:szCs w:val="17"/>
          <w:color w:val="auto"/>
        </w:rPr>
      </w:pPr>
      <w:r>
        <w:rPr>
          <w:rFonts w:ascii="Arial" w:cs="Arial" w:eastAsia="Arial" w:hAnsi="Arial"/>
          <w:sz w:val="17"/>
          <w:szCs w:val="17"/>
          <w:color w:val="auto"/>
        </w:rPr>
        <w:t>transfers of shares of our Class A common stock or other securities (i) as a bona fide gift or for bona fide estate planning purposes, (ii) to an immediate family member or to any trust for the direct or indirect benefit of the lock-up party or an immediate family member of the lock-up party, (iii) to any corporation, partnership, limited liability company, investment fund or other entity controlled or managed, or under common control or management by, the lock-up party, or (iv) by will, other testamentary document or intestate succession to the legal representative, heir, beneficiary or an immediate family member of the lock-up party; provided that, in the case of any transfer pursuant to this clause (b), (i) each transferee shall sign and deliver a lock-up agreement, and (ii) no filing under Section 16(a) of the Exchange Act,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143</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4" w:lineRule="exact"/>
        <w:rPr>
          <w:sz w:val="20"/>
          <w:szCs w:val="20"/>
          <w:color w:val="auto"/>
        </w:rPr>
      </w:pPr>
    </w:p>
    <w:p>
      <w:pPr>
        <w:ind w:left="328"/>
        <w:spacing w:after="0"/>
        <w:rPr>
          <w:sz w:val="20"/>
          <w:szCs w:val="20"/>
          <w:color w:val="auto"/>
        </w:rPr>
      </w:pPr>
      <w:r>
        <w:rPr>
          <w:rFonts w:ascii="Arial" w:cs="Arial" w:eastAsia="Arial" w:hAnsi="Arial"/>
          <w:sz w:val="16"/>
          <w:szCs w:val="16"/>
          <w:color w:val="auto"/>
        </w:rPr>
        <w:t>a reduction in beneficial ownership of shares of Class A common stock, shall be required or shall be voluntarily made during the restricted period;</w:t>
      </w:r>
    </w:p>
    <w:p>
      <w:pPr>
        <w:spacing w:after="0" w:line="194" w:lineRule="exact"/>
        <w:rPr>
          <w:sz w:val="20"/>
          <w:szCs w:val="20"/>
          <w:color w:val="auto"/>
        </w:rPr>
      </w:pPr>
    </w:p>
    <w:p>
      <w:pPr>
        <w:jc w:val="both"/>
        <w:ind w:left="328" w:hanging="328"/>
        <w:spacing w:after="0" w:line="254" w:lineRule="auto"/>
        <w:tabs>
          <w:tab w:leader="none" w:pos="325"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lock-up party is a corporation, partnership, limited liability company, trust, or other business entity, transfers or distributions of shares of Class A common stock or other securities to current or former general or limited partners, managers or members, stockholders, other equityholders or direct or indirect affiliates (within the meaning of Rule 405 under the Securities Act of 1933, as amended) of the lock-up party or to the estates of any of the foregoing; provided that, in the case of any transfer or distribution pursuant to this clause (c), (i) each transferee or distributee shall sign and deliver a lock-up agreement substantially in the form of this agreement, and (ii) no filing under Section 16(a) of the Exchange Act, reporting a reduction in beneficial ownership of shares of Class A common stock, shall be required or shall be voluntarily made during the restricted period;</w:t>
      </w:r>
    </w:p>
    <w:p>
      <w:pPr>
        <w:spacing w:after="0" w:line="140" w:lineRule="exact"/>
        <w:rPr>
          <w:rFonts w:ascii="Arial" w:cs="Arial" w:eastAsia="Arial" w:hAnsi="Arial"/>
          <w:sz w:val="18"/>
          <w:szCs w:val="18"/>
          <w:color w:val="auto"/>
        </w:rPr>
      </w:pPr>
    </w:p>
    <w:p>
      <w:pPr>
        <w:jc w:val="both"/>
        <w:ind w:left="328" w:hanging="328"/>
        <w:spacing w:after="0" w:line="296" w:lineRule="auto"/>
        <w:tabs>
          <w:tab w:leader="none" w:pos="322" w:val="left"/>
        </w:tabs>
        <w:numPr>
          <w:ilvl w:val="0"/>
          <w:numId w:val="96"/>
        </w:numPr>
        <w:rPr>
          <w:rFonts w:ascii="Arial" w:cs="Arial" w:eastAsia="Arial" w:hAnsi="Arial"/>
          <w:sz w:val="16"/>
          <w:szCs w:val="16"/>
          <w:color w:val="auto"/>
        </w:rPr>
      </w:pPr>
      <w:r>
        <w:rPr>
          <w:rFonts w:ascii="Arial" w:cs="Arial" w:eastAsia="Arial" w:hAnsi="Arial"/>
          <w:sz w:val="16"/>
          <w:szCs w:val="16"/>
          <w:color w:val="auto"/>
        </w:rPr>
        <w:t>facilitating the establishment of a trading plan on behalf of our shareholders, officers or directors pursuant to Rule 10b5-1 under the Exchange Act for the transfer of shares of Class A common stock, provided that (i) such plan does not provide for the transfer of Class A common stock during the restricted period other than as allowed in the lock-up agreement and (ii)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Class A common stock may be made under such plan during the restricted period;</w:t>
      </w:r>
    </w:p>
    <w:p>
      <w:pPr>
        <w:spacing w:after="0" w:line="107" w:lineRule="exact"/>
        <w:rPr>
          <w:rFonts w:ascii="Arial" w:cs="Arial" w:eastAsia="Arial" w:hAnsi="Arial"/>
          <w:sz w:val="16"/>
          <w:szCs w:val="16"/>
          <w:color w:val="auto"/>
        </w:rPr>
      </w:pPr>
    </w:p>
    <w:p>
      <w:pPr>
        <w:jc w:val="both"/>
        <w:ind w:left="328" w:hanging="328"/>
        <w:spacing w:after="0" w:line="272" w:lineRule="auto"/>
        <w:tabs>
          <w:tab w:leader="none" w:pos="32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receipt by the lock-up party of our Class A common stock from us upon the exercise of options, settlement of restricted stock units or other equity awards granted under a stock incentive plan or other equity award plan described in this prospectus or (ii) the sale or other transfer of shares of our Class A common stock or any securities convertible into our Class A common stock upon the vesting, exercise or settlement of restricted stock units, options, warrants or other vested securities (including, in each case, by way of a “cashless” or “net” exercise basis and any transfer to us necessary in respect of such amount needed for the payment of taxes, including estimated taxes, and remittance payments due as a result of such vesting, settlement or exercise including by means of a “net settlement,” “sell to cover” or otherwise); provided the shares received upon the vesting, exercise or settlement are subject to the terms of the lock-up agreement;</w:t>
      </w:r>
    </w:p>
    <w:p>
      <w:pPr>
        <w:spacing w:after="0" w:line="123" w:lineRule="exact"/>
        <w:rPr>
          <w:rFonts w:ascii="Arial" w:cs="Arial" w:eastAsia="Arial" w:hAnsi="Arial"/>
          <w:sz w:val="17"/>
          <w:szCs w:val="17"/>
          <w:color w:val="auto"/>
        </w:rPr>
      </w:pPr>
    </w:p>
    <w:p>
      <w:pPr>
        <w:jc w:val="both"/>
        <w:ind w:left="328" w:hanging="328"/>
        <w:spacing w:after="0" w:line="263" w:lineRule="auto"/>
        <w:tabs>
          <w:tab w:leader="none" w:pos="319"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transfer of our Class A common stock or other securities that occurs by operation of law, such as pursuant to a qualified domestic order, divorce settlement, divorce decree, settlement agreement or other court order; provided that, in the case of any transfer pursuant to this clause (f), each transferee shall sign and deliver a lock-up agreement substantially in the form of this agreement;</w:t>
      </w:r>
    </w:p>
    <w:p>
      <w:pPr>
        <w:spacing w:after="0" w:line="129" w:lineRule="exact"/>
        <w:rPr>
          <w:rFonts w:ascii="Arial" w:cs="Arial" w:eastAsia="Arial" w:hAnsi="Arial"/>
          <w:sz w:val="18"/>
          <w:szCs w:val="18"/>
          <w:color w:val="auto"/>
        </w:rPr>
      </w:pPr>
    </w:p>
    <w:p>
      <w:pPr>
        <w:ind w:left="328" w:right="20" w:hanging="328"/>
        <w:spacing w:after="0" w:line="308" w:lineRule="auto"/>
        <w:tabs>
          <w:tab w:leader="none" w:pos="322"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transfer of our Class A common stock pursuant to arrangements under we have the option to repurchase such shares or a right of first refusal with respect to transfers of such shares or in connection with the death, disability or termination of employment or service;</w:t>
      </w:r>
    </w:p>
    <w:p>
      <w:pPr>
        <w:spacing w:after="0" w:line="92" w:lineRule="exact"/>
        <w:rPr>
          <w:rFonts w:ascii="Arial" w:cs="Arial" w:eastAsia="Arial" w:hAnsi="Arial"/>
          <w:sz w:val="17"/>
          <w:szCs w:val="17"/>
          <w:color w:val="auto"/>
        </w:rPr>
      </w:pPr>
    </w:p>
    <w:p>
      <w:pPr>
        <w:jc w:val="both"/>
        <w:ind w:left="328" w:hanging="328"/>
        <w:spacing w:after="0" w:line="259" w:lineRule="auto"/>
        <w:tabs>
          <w:tab w:leader="none" w:pos="32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conversion of our outstanding preferred stock and Class F common stock into shares of Class A common stock or Class B common stock, respectively, prior to or in connection with the consummation of this offering, provided that such conversion is described in this prospectus and any such shares of Class A common stock or Class B common stock, respectively, received upon such conversion shall be subject to the terms of the lock-up agreement;</w:t>
      </w:r>
    </w:p>
    <w:p>
      <w:pPr>
        <w:spacing w:after="0" w:line="132" w:lineRule="exact"/>
        <w:rPr>
          <w:rFonts w:ascii="Arial" w:cs="Arial" w:eastAsia="Arial" w:hAnsi="Arial"/>
          <w:sz w:val="18"/>
          <w:szCs w:val="18"/>
          <w:color w:val="auto"/>
        </w:rPr>
      </w:pPr>
    </w:p>
    <w:p>
      <w:pPr>
        <w:jc w:val="both"/>
        <w:ind w:left="328" w:hanging="328"/>
        <w:spacing w:after="0" w:line="279" w:lineRule="auto"/>
        <w:tabs>
          <w:tab w:leader="none" w:pos="322"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transfer of shares of our Class A common stock or other securities in connection with a bona fide third-party tender offer, merger, consolidation or other similar transaction, that is approved by our board of directors, made to all holders of Class A common stock involving a change of control, provided that in the event that the tender offer, merger, consolidation or other such transaction is not completed, the Class A common stock owned by the lock-up party shall remain subject to the restrictions contained in the lock-up agreement; or</w:t>
      </w:r>
    </w:p>
    <w:p>
      <w:pPr>
        <w:spacing w:after="0" w:line="117" w:lineRule="exact"/>
        <w:rPr>
          <w:rFonts w:ascii="Arial" w:cs="Arial" w:eastAsia="Arial" w:hAnsi="Arial"/>
          <w:sz w:val="17"/>
          <w:szCs w:val="17"/>
          <w:color w:val="auto"/>
        </w:rPr>
      </w:pPr>
    </w:p>
    <w:p>
      <w:pPr>
        <w:ind w:left="328" w:hanging="328"/>
        <w:spacing w:after="0" w:line="277" w:lineRule="auto"/>
        <w:tabs>
          <w:tab w:leader="none" w:pos="322"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sale (on behalf of the lock-up party) of up to such number of shares of Class A common stock solely necessary to raise funds to satisfy our income and payroll tax withholding obligations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144</w:t>
      </w:r>
    </w:p>
    <w:p>
      <w:pPr>
        <w:sectPr>
          <w:pgSz w:w="11900" w:h="16838" w:orient="portrait"/>
          <w:cols w:equalWidth="0" w:num="1">
            <w:col w:w="10908"/>
          </w:cols>
          <w:pgMar w:left="652" w:top="1440" w:right="339" w:bottom="1440" w:gutter="0" w:footer="0" w:header="0"/>
        </w:sectPr>
      </w:pPr>
    </w:p>
    <w:bookmarkStart w:id="152" w:name="page153"/>
    <w:bookmarkEnd w:id="152"/>
    <w:p>
      <w:pPr>
        <w:spacing w:after="0" w:line="144"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the vesting, exercise or settlement of restricted stock units held by the lock-up party that are outstanding as of the date of the lock-up agreement; provided that if the lock-up party is required to file a report under Section 16(a) of the Exchange Act during the restricted period, the lock-up party shall include a statement in any such report to the effect that such transfer was solely pursuant to the circumstances described in this clause (j), no other shares of Class A common stock were sold and that the lock-up party’s securities are subject to a lock-up agreement with the underwriters; provided further that no other public announcement shall be required or shall be voluntarily made in connection with such transfer. If the lock-up party is an officer or director, the lock-up party further agrees that the foregoing restrictions shall be equally applicable to any issuer-directed shares the lock-up party may purchase in the offering.</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restrictions described in (A)-(C) above do not restrict us from:</w:t>
      </w:r>
    </w:p>
    <w:p>
      <w:pPr>
        <w:spacing w:after="0" w:line="171" w:lineRule="exact"/>
        <w:rPr>
          <w:sz w:val="20"/>
          <w:szCs w:val="20"/>
          <w:color w:val="auto"/>
        </w:rPr>
      </w:pPr>
    </w:p>
    <w:p>
      <w:pPr>
        <w:jc w:val="both"/>
        <w:ind w:left="660" w:hanging="328"/>
        <w:spacing w:after="0" w:line="269" w:lineRule="auto"/>
        <w:tabs>
          <w:tab w:leader="none" w:pos="657"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sale or issuance of or our entry into an agreement providing for the sale or issuance of Class A common stock or securities convertible into, exercisable for or which are otherwise exchangeable for or represent the right to receive Class A common stock in connection with (x) the acquisition by us or any of our subsidiaries of the securities, business, technology, property or other assets of another person or entity or pursuant to an employee benefit plan assumed by us in connection with such acquisition, and the issuance of any Class A common stock or securities convertible into, exercisable for or which are otherwise exchangeable for or represent the right to receive Class A common stock pursuant to any such agreement or (y) our joint ventures, commercial relationships and other strategic transactions, provided that the aggregate number of shares of Class A common stock, securities convertible into, exercisable for or which are otherwise exchangeable for or represent the right to receive Class A common stock that we may sell or issue or agree to sell or issue pursuant to this clause (a) shall not exceed 10% of the total number of shares of our Class A common stock outstanding as of the closing of this offering and all recipients of any such securities shall enter into a lock-up agreement covering the remainder of the restricted period; or</w:t>
      </w:r>
    </w:p>
    <w:p>
      <w:pPr>
        <w:spacing w:after="0" w:line="131" w:lineRule="exact"/>
        <w:rPr>
          <w:rFonts w:ascii="Arial" w:cs="Arial" w:eastAsia="Arial" w:hAnsi="Arial"/>
          <w:sz w:val="17"/>
          <w:szCs w:val="17"/>
          <w:color w:val="auto"/>
        </w:rPr>
      </w:pPr>
    </w:p>
    <w:p>
      <w:pPr>
        <w:ind w:left="640" w:hanging="308"/>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Morgan Stanley &amp; Co. LLC and KeyBanc Capital Markets Inc., in their sole discretion, may release shares of our Class A common stock and other securities subject to the lock-up agreements described above in whole or in part at any time.</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underwriters will agree to indemnify each other against certain liabilities, including liabilities under the Securities Act.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145</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distributions will be allocated by the representatives to underwriters that may make Internet distributions on the same basis as other allocations.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In addition, certain of the underwriters and their respective affiliates, have, from time to time, contracted with us as a financial service partner in connection with consumer financial products on our platform.</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prospectus has been prepared on the basis that any offer of our Class A common stock in any Member State of the European Economic Area will be made pursuant to an exemption under the Prospectus Regulation from the requirement to publish a prospectus for offers of common stock. Accordingly, any person making or intending to make an offer in that Member State of shares of common stock which are the subject of the offering contemplated in this prospectus may only do so in circumstances in which no obligation arises for us or any of the underwriters to publish a prospectus pursuant to Article 3 of the Prospectus Regulation or supplement a prospectus pursuant to Article 23 of the Prospectus Regulation, in each case in relation to such offer. Neither we nor any of the underwriters have authorized, nor do we or they authorize, the making of any offer of common stock in circumstances in which an obligation arises for us or any of the underwriters to publish or supplement a prospectus for such offer. Neither we nor any of the underwriters have authorized, nor do we or they authorize, the making of any offer of common stock through any financial intermediary, other than offers made by the underwriters, which constitute the final placement of the Class A common stock contemplated in this prospectus. The expression “Prospectus Regulation” means Regulation (EU) 2017/1129 (as amended or superseded).</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relation to each Member State of the European Economic Area, each underwriter has represented and agreed that it has not made and will not make an offer of shares of common stock which are the subject of the offering contemplated by this prospectus to the public in that Member State, except that it may make an offer of such common stock to the public in that Member State:</w:t>
      </w:r>
    </w:p>
    <w:p>
      <w:pPr>
        <w:spacing w:after="0" w:line="130"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146</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in any other circumstances falling within Article 1(4) of the Prospectus Regulation,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prospectus has been prepared on the basis that any offer of shares of common stock in the United Kingdom, or the UK, will be made pursuant to an exemption from the obligation to publish a prospectus under section 85 of the Financial Services and Markets Act 2000, or the FSMA. Accordingly, any person making or intending to make an offer in the UK may only do so in circumstances in which no obligation arises for us or any of the underwriters to publish a prospectus pursuant to section 85 of the FSMA or supplement a prospectus pursuant to the UK Prospectus Regulation, in each case in relation to such offer. Neither we nor any of the underwriters have authorized, nor do we or they authorize, the making of any offer of common stock in circumstances in which an obligation arises for us or any of the underwriters to publish or supplement a prospectus for such offer. Neither we nor any of the underwriters have authorized, nor do we or they authorize, the making of any offer of shares through any financial intermediary, other than offers made by the underwriters, which constitute the final placement of the shares of Class A common stock contemplated in this prospectus. The expression “UK Prospectus Regulation” means Regulation (EU) 2017/1129 as it forms part of domestic law by virtue of the European Union (Withdrawal) Act 2018 in the United Kingdom.</w:t>
      </w:r>
    </w:p>
    <w:p>
      <w:pPr>
        <w:spacing w:after="0" w:line="14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relation to the UK, each underwriter has represented and agreed that it has not made and will not make an offer of shares of common stock which are the subject of the offering contemplated by this prospectus to the public in the UK, except that it may make an offer of such shares to the public in the UK:</w:t>
      </w:r>
    </w:p>
    <w:p>
      <w:pPr>
        <w:spacing w:after="0" w:line="130"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UK Prospectus Regulation;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UK Prospectus Regulation), subject to obtaining the prior consent of the representatives;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provided that no such offer of shares shall require us or any underwriters to publish a prospectus pursuant to section 85 of the FSMA or supplement a prospectus pursuant to Article 23 of the UK Prospectus Regulation.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means the communication in any form and by any means of sufficient information on the terms of the offer and the shares to be offered so as to enable an investor to decide to purchase or subscribe for the shares.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jc w:val="both"/>
        <w:ind w:left="660" w:hanging="328"/>
        <w:spacing w:after="0" w:line="286" w:lineRule="auto"/>
        <w:tabs>
          <w:tab w:leader="none" w:pos="65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of our Class A common stock in circumstances in which Section 21(1) of the FSMA does not apply to us; and</w:t>
      </w:r>
    </w:p>
    <w:p>
      <w:pPr>
        <w:spacing w:after="0" w:line="111" w:lineRule="exact"/>
        <w:rPr>
          <w:rFonts w:ascii="Arial" w:cs="Arial" w:eastAsia="Arial" w:hAnsi="Arial"/>
          <w:sz w:val="17"/>
          <w:szCs w:val="17"/>
          <w:color w:val="auto"/>
        </w:rPr>
      </w:pPr>
    </w:p>
    <w:p>
      <w:pPr>
        <w:ind w:left="660" w:hanging="328"/>
        <w:spacing w:after="0" w:line="277" w:lineRule="auto"/>
        <w:tabs>
          <w:tab w:leader="none" w:pos="65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147</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Switzerland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prospectus is not intended to constitute an offer or solicitation to purchase or invest in the shares of Class A common stock. The shares of Class A common stock may not be publicly offered, directly or indirectly, in Switzerland within the meaning of the Swiss Financial Services Act, or the FinSA, and no application has or will be made to admit the shares of Class A common stock to trading on any trading venue (exchange or multilateral trading facility) in Switzerland. Neither this prospectus nor any other offering or marketing material relating to the shares of Class A common stock constitutes a prospectus pursuant to the FinSA, and neither this prospectus nor any other offering or marketing material relating to the shares of Class A common stock may be publicly distributed or otherwise made publicly available in Switzerland.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Australia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148</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an exemption from, or in a transaction not subject to, the prospectus requirements of applicable securities laws.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shares of Class A common stock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Where the shares of Class A common stock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the sole purpose of which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 (i) to an institutional investor or to a relevant person defined in Section 275(2) of the SFA, or to any person arising from an offer referred to in Section 275(1A) or Section 276(4)(i)(B) of the SFA; (ii) where no consideration is or will be given for the transfer; (iii) where the transfer is by operation of law; (iv) as specified in Section 276(7) of the SFA; or (v) as specified in Regulation 37A of the Securities and Futures (Offers of Investments) (Securities and Securities-based Derivatives Contracts) Regulations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149</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For Qualified Institutional Investors, or QII</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For Non-QII Investors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Brazil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securities may be offered or sold in Brazil, except in circumstances that do not constitute a public offering or unauthorized distribution under Brazilian laws and regulations. The securities have not been, and will not be, registered with the Comissão de Valores Mobiliários.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France</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 (1) released, issued, distributed or caused to be released, issued or distributed to the public in France; or (2) used in connection with any offer for subscription or sale of the shares to the public in France.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71" w:lineRule="exact"/>
        <w:rPr>
          <w:sz w:val="20"/>
          <w:szCs w:val="20"/>
          <w:color w:val="auto"/>
        </w:rPr>
      </w:pPr>
    </w:p>
    <w:p>
      <w:pPr>
        <w:ind w:left="660" w:hanging="328"/>
        <w:spacing w:after="0" w:line="277" w:lineRule="auto"/>
        <w:tabs>
          <w:tab w:leader="none" w:pos="65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qualified investors (investisseurs estraint) and/or to a restricted circle of investors (cercle estraint d’investisseurs), in each case investing for their own account, all as defined in, and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articles L.411-2, D.411-1, D.411-2, D.734-1, D.744-1, D.754-1 and D.764-1 of the French Code monétaire et financier;</w:t>
      </w:r>
    </w:p>
    <w:p>
      <w:pPr>
        <w:spacing w:after="0" w:line="171" w:lineRule="exact"/>
        <w:rPr>
          <w:sz w:val="20"/>
          <w:szCs w:val="20"/>
          <w:color w:val="auto"/>
        </w:rPr>
      </w:pPr>
    </w:p>
    <w:p>
      <w:pPr>
        <w:ind w:left="640" w:hanging="308"/>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5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 -or-2° -or 3° of the French Code monétaire et financier and article 211-2 of the General Regulations (Réglement Général) of the Autorité des Marchés Financiers, does not constitute a public offer (appel public á l’épargne).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China</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prospectus does not constitute a public offer of shares, whether by sale or subscription, in the People’s Republic of China (the “PRC”). The shares are not being offered or sold directly or indirectly in the PRC to or for the benefit of, legal or natural persons of the PRC.</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 no legal or natural persons of the PRC may directly or indirectly purchase any of the shares of Class A common stock offered by this prospectus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Saudi Arabia</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prospectus may not be distributed in the Kingdom of Saudi Arabia except to such persons as are permitted under the Offers of Securities Regulations as issued by the board of the Saudi Arabian Capital Market Authority (the CMA) pursuant to resolution number 2-11-2004 dated 4 October 2004 as amended by resolution number 1-28-2008, as amended (the CMA Regulations). The CMA does not make any representation as to the accuracy or completeness of this prospectus and expressly disclaims any liability whatsoever for any loss arising from, or incurred in reliance upon, any part of this prospectus. Prospective purchasers of the shares of Class A common stock offered hereby should conduct their own due diligence on the accuracy of the information relating to the shares of Class A common stock. If you do not understand the contents of this prospectus, you should consult an authorized financial adviser.</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Kuwait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shares,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Qatar</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151</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validity of the shares of Class A common stock being offered by this prospectus will be passed upon for us by Cooley LLP, Palo Alto,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 Menlo Park, California has acted as counsel to the underwriters in connection with this offering.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financial statements included in this Prospectus as of and for the years ended December 31, 2020 and 2019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Upon the completion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web site of the SEC referred to above. We also maintain a website at www.nerdwallet.com,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152</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NERDWALLET,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20" w:type="dxa"/>
            <w:vAlign w:val="bottom"/>
          </w:tcPr>
          <w:p>
            <w:pPr>
              <w:spacing w:after="0"/>
              <w:rPr>
                <w:sz w:val="16"/>
                <w:szCs w:val="16"/>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Page</w:t>
            </w:r>
          </w:p>
        </w:tc>
      </w:tr>
      <w:tr>
        <w:trPr>
          <w:trHeight w:val="26"/>
        </w:trPr>
        <w:tc>
          <w:tcPr>
            <w:tcW w:w="10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10420" w:type="dxa"/>
            <w:vAlign w:val="bottom"/>
          </w:tcPr>
          <w:p>
            <w:pPr>
              <w:spacing w:after="0"/>
              <w:rPr>
                <w:rFonts w:ascii="Arial" w:cs="Arial" w:eastAsia="Arial" w:hAnsi="Arial"/>
                <w:sz w:val="18"/>
                <w:szCs w:val="18"/>
                <w:color w:val="auto"/>
              </w:rPr>
            </w:pPr>
            <w:hyperlink w:anchor="page161">
              <w:r>
                <w:rPr>
                  <w:rFonts w:ascii="Arial" w:cs="Arial" w:eastAsia="Arial" w:hAnsi="Arial"/>
                  <w:sz w:val="18"/>
                  <w:szCs w:val="18"/>
                  <w:color w:val="auto"/>
                </w:rPr>
                <w:t>REPORT OF INDEPENDENT REGISTERED PUBLIC ACCOUNTING FIRM</w:t>
              </w:r>
            </w:hyperlink>
          </w:p>
        </w:tc>
        <w:tc>
          <w:tcPr>
            <w:tcW w:w="800" w:type="dxa"/>
            <w:vAlign w:val="bottom"/>
          </w:tcPr>
          <w:p>
            <w:pPr>
              <w:ind w:left="280"/>
              <w:spacing w:after="0"/>
              <w:rPr>
                <w:rFonts w:ascii="Arial" w:cs="Arial" w:eastAsia="Arial" w:hAnsi="Arial"/>
                <w:sz w:val="18"/>
                <w:szCs w:val="18"/>
                <w:color w:val="auto"/>
              </w:rPr>
            </w:pPr>
            <w:hyperlink w:anchor="page161">
              <w:r>
                <w:rPr>
                  <w:rFonts w:ascii="Arial" w:cs="Arial" w:eastAsia="Arial" w:hAnsi="Arial"/>
                  <w:sz w:val="18"/>
                  <w:szCs w:val="18"/>
                  <w:color w:val="auto"/>
                </w:rPr>
                <w:t>F-2</w:t>
              </w:r>
            </w:hyperlink>
          </w:p>
        </w:tc>
      </w:tr>
      <w:tr>
        <w:trPr>
          <w:trHeight w:val="743"/>
        </w:trPr>
        <w:tc>
          <w:tcPr>
            <w:tcW w:w="10420" w:type="dxa"/>
            <w:vAlign w:val="bottom"/>
          </w:tcPr>
          <w:p>
            <w:pPr>
              <w:spacing w:after="0"/>
              <w:rPr>
                <w:rFonts w:ascii="Arial" w:cs="Arial" w:eastAsia="Arial" w:hAnsi="Arial"/>
                <w:sz w:val="18"/>
                <w:szCs w:val="18"/>
                <w:color w:val="auto"/>
              </w:rPr>
            </w:pPr>
            <w:hyperlink w:anchor="page162">
              <w:r>
                <w:rPr>
                  <w:rFonts w:ascii="Arial" w:cs="Arial" w:eastAsia="Arial" w:hAnsi="Arial"/>
                  <w:sz w:val="18"/>
                  <w:szCs w:val="18"/>
                  <w:color w:val="auto"/>
                </w:rPr>
                <w:t>Consolidated Balance Sheets</w:t>
              </w:r>
            </w:hyperlink>
          </w:p>
        </w:tc>
        <w:tc>
          <w:tcPr>
            <w:tcW w:w="800" w:type="dxa"/>
            <w:vAlign w:val="bottom"/>
          </w:tcPr>
          <w:p>
            <w:pPr>
              <w:ind w:left="280"/>
              <w:spacing w:after="0"/>
              <w:rPr>
                <w:rFonts w:ascii="Arial" w:cs="Arial" w:eastAsia="Arial" w:hAnsi="Arial"/>
                <w:sz w:val="18"/>
                <w:szCs w:val="18"/>
                <w:color w:val="auto"/>
              </w:rPr>
            </w:pPr>
            <w:r>
              <w:rPr>
                <w:rFonts w:ascii="Arial" w:cs="Arial" w:eastAsia="Arial" w:hAnsi="Arial"/>
                <w:sz w:val="18"/>
                <w:szCs w:val="18"/>
                <w:color w:val="auto"/>
              </w:rPr>
              <w:t>F-</w:t>
            </w:r>
            <w:hyperlink w:anchor="page162">
              <w:r>
                <w:rPr>
                  <w:rFonts w:ascii="Arial" w:cs="Arial" w:eastAsia="Arial" w:hAnsi="Arial"/>
                  <w:sz w:val="18"/>
                  <w:szCs w:val="18"/>
                  <w:color w:val="auto"/>
                </w:rPr>
                <w:t>3</w:t>
              </w:r>
            </w:hyperlink>
          </w:p>
        </w:tc>
      </w:tr>
      <w:tr>
        <w:trPr>
          <w:trHeight w:val="270"/>
        </w:trPr>
        <w:tc>
          <w:tcPr>
            <w:tcW w:w="10420" w:type="dxa"/>
            <w:vAlign w:val="bottom"/>
          </w:tcPr>
          <w:p>
            <w:pPr>
              <w:spacing w:after="0"/>
              <w:rPr>
                <w:rFonts w:ascii="Arial" w:cs="Arial" w:eastAsia="Arial" w:hAnsi="Arial"/>
                <w:sz w:val="18"/>
                <w:szCs w:val="18"/>
                <w:color w:val="auto"/>
              </w:rPr>
            </w:pPr>
            <w:hyperlink w:anchor="page163">
              <w:r>
                <w:rPr>
                  <w:rFonts w:ascii="Arial" w:cs="Arial" w:eastAsia="Arial" w:hAnsi="Arial"/>
                  <w:sz w:val="18"/>
                  <w:szCs w:val="18"/>
                  <w:color w:val="auto"/>
                </w:rPr>
                <w:t xml:space="preserve">Consolidated Statements of Operations and Comprehensive Income </w:t>
              </w:r>
            </w:hyperlink>
            <w:r>
              <w:rPr>
                <w:rFonts w:ascii="Arial" w:cs="Arial" w:eastAsia="Arial" w:hAnsi="Arial"/>
                <w:sz w:val="18"/>
                <w:szCs w:val="18"/>
                <w:color w:val="auto"/>
              </w:rPr>
              <w:t>(Loss)</w:t>
            </w:r>
          </w:p>
        </w:tc>
        <w:tc>
          <w:tcPr>
            <w:tcW w:w="800" w:type="dxa"/>
            <w:vAlign w:val="bottom"/>
          </w:tcPr>
          <w:p>
            <w:pPr>
              <w:ind w:left="280"/>
              <w:spacing w:after="0"/>
              <w:rPr>
                <w:rFonts w:ascii="Arial" w:cs="Arial" w:eastAsia="Arial" w:hAnsi="Arial"/>
                <w:sz w:val="18"/>
                <w:szCs w:val="18"/>
                <w:color w:val="auto"/>
              </w:rPr>
            </w:pPr>
            <w:hyperlink w:anchor="page163">
              <w:r>
                <w:rPr>
                  <w:rFonts w:ascii="Arial" w:cs="Arial" w:eastAsia="Arial" w:hAnsi="Arial"/>
                  <w:sz w:val="18"/>
                  <w:szCs w:val="18"/>
                  <w:color w:val="auto"/>
                </w:rPr>
                <w:t>F-4</w:t>
              </w:r>
            </w:hyperlink>
          </w:p>
        </w:tc>
      </w:tr>
      <w:tr>
        <w:trPr>
          <w:trHeight w:val="270"/>
        </w:trPr>
        <w:tc>
          <w:tcPr>
            <w:tcW w:w="10420" w:type="dxa"/>
            <w:vAlign w:val="bottom"/>
          </w:tcPr>
          <w:p>
            <w:pPr>
              <w:spacing w:after="0"/>
              <w:rPr>
                <w:rFonts w:ascii="Arial" w:cs="Arial" w:eastAsia="Arial" w:hAnsi="Arial"/>
                <w:sz w:val="18"/>
                <w:szCs w:val="18"/>
                <w:color w:val="auto"/>
              </w:rPr>
            </w:pPr>
            <w:hyperlink w:anchor="page164">
              <w:r>
                <w:rPr>
                  <w:rFonts w:ascii="Arial" w:cs="Arial" w:eastAsia="Arial" w:hAnsi="Arial"/>
                  <w:sz w:val="18"/>
                  <w:szCs w:val="18"/>
                  <w:color w:val="auto"/>
                </w:rPr>
                <w:t>Consolidated Statements of Redeemable Convertible Preferred Stock and Stockholders’ Equity (Deficit)</w:t>
              </w:r>
            </w:hyperlink>
          </w:p>
        </w:tc>
        <w:tc>
          <w:tcPr>
            <w:tcW w:w="800" w:type="dxa"/>
            <w:vAlign w:val="bottom"/>
          </w:tcPr>
          <w:p>
            <w:pPr>
              <w:ind w:left="280"/>
              <w:spacing w:after="0"/>
              <w:rPr>
                <w:rFonts w:ascii="Arial" w:cs="Arial" w:eastAsia="Arial" w:hAnsi="Arial"/>
                <w:sz w:val="18"/>
                <w:szCs w:val="18"/>
                <w:color w:val="auto"/>
              </w:rPr>
            </w:pPr>
            <w:hyperlink w:anchor="page164">
              <w:r>
                <w:rPr>
                  <w:rFonts w:ascii="Arial" w:cs="Arial" w:eastAsia="Arial" w:hAnsi="Arial"/>
                  <w:sz w:val="18"/>
                  <w:szCs w:val="18"/>
                  <w:color w:val="auto"/>
                </w:rPr>
                <w:t>F-5</w:t>
              </w:r>
            </w:hyperlink>
          </w:p>
        </w:tc>
      </w:tr>
      <w:tr>
        <w:trPr>
          <w:trHeight w:val="270"/>
        </w:trPr>
        <w:tc>
          <w:tcPr>
            <w:tcW w:w="10420" w:type="dxa"/>
            <w:vAlign w:val="bottom"/>
          </w:tcPr>
          <w:p>
            <w:pPr>
              <w:spacing w:after="0"/>
              <w:rPr>
                <w:rFonts w:ascii="Arial" w:cs="Arial" w:eastAsia="Arial" w:hAnsi="Arial"/>
                <w:sz w:val="18"/>
                <w:szCs w:val="18"/>
                <w:color w:val="auto"/>
              </w:rPr>
            </w:pPr>
            <w:hyperlink w:anchor="page167">
              <w:r>
                <w:rPr>
                  <w:rFonts w:ascii="Arial" w:cs="Arial" w:eastAsia="Arial" w:hAnsi="Arial"/>
                  <w:sz w:val="18"/>
                  <w:szCs w:val="18"/>
                  <w:color w:val="auto"/>
                </w:rPr>
                <w:t>Consolidated Statements of Cash Flows</w:t>
              </w:r>
            </w:hyperlink>
          </w:p>
        </w:tc>
        <w:tc>
          <w:tcPr>
            <w:tcW w:w="800" w:type="dxa"/>
            <w:vAlign w:val="bottom"/>
          </w:tcPr>
          <w:p>
            <w:pPr>
              <w:ind w:left="280"/>
              <w:spacing w:after="0"/>
              <w:rPr>
                <w:rFonts w:ascii="Arial" w:cs="Arial" w:eastAsia="Arial" w:hAnsi="Arial"/>
                <w:sz w:val="18"/>
                <w:szCs w:val="18"/>
                <w:color w:val="auto"/>
              </w:rPr>
            </w:pPr>
            <w:hyperlink w:anchor="page167">
              <w:r>
                <w:rPr>
                  <w:rFonts w:ascii="Arial" w:cs="Arial" w:eastAsia="Arial" w:hAnsi="Arial"/>
                  <w:sz w:val="18"/>
                  <w:szCs w:val="18"/>
                  <w:color w:val="auto"/>
                </w:rPr>
                <w:t>F-8</w:t>
              </w:r>
            </w:hyperlink>
          </w:p>
        </w:tc>
      </w:tr>
      <w:tr>
        <w:trPr>
          <w:trHeight w:val="270"/>
        </w:trPr>
        <w:tc>
          <w:tcPr>
            <w:tcW w:w="10420" w:type="dxa"/>
            <w:vAlign w:val="bottom"/>
          </w:tcPr>
          <w:p>
            <w:pPr>
              <w:spacing w:after="0"/>
              <w:rPr>
                <w:rFonts w:ascii="Arial" w:cs="Arial" w:eastAsia="Arial" w:hAnsi="Arial"/>
                <w:sz w:val="18"/>
                <w:szCs w:val="18"/>
                <w:color w:val="auto"/>
              </w:rPr>
            </w:pPr>
            <w:hyperlink w:anchor="page169">
              <w:r>
                <w:rPr>
                  <w:rFonts w:ascii="Arial" w:cs="Arial" w:eastAsia="Arial" w:hAnsi="Arial"/>
                  <w:sz w:val="18"/>
                  <w:szCs w:val="18"/>
                  <w:color w:val="auto"/>
                </w:rPr>
                <w:t>Notes to Consolidated Financial Statements</w:t>
              </w:r>
            </w:hyperlink>
          </w:p>
        </w:tc>
        <w:tc>
          <w:tcPr>
            <w:tcW w:w="800" w:type="dxa"/>
            <w:vAlign w:val="bottom"/>
          </w:tcPr>
          <w:p>
            <w:pPr>
              <w:ind w:left="240"/>
              <w:spacing w:after="0"/>
              <w:rPr>
                <w:rFonts w:ascii="Arial" w:cs="Arial" w:eastAsia="Arial" w:hAnsi="Arial"/>
                <w:sz w:val="18"/>
                <w:szCs w:val="18"/>
                <w:color w:val="auto"/>
              </w:rPr>
            </w:pPr>
            <w:hyperlink w:anchor="page169">
              <w:r>
                <w:rPr>
                  <w:rFonts w:ascii="Arial" w:cs="Arial" w:eastAsia="Arial" w:hAnsi="Arial"/>
                  <w:sz w:val="18"/>
                  <w:szCs w:val="18"/>
                  <w:color w:val="auto"/>
                </w:rPr>
                <w:t>F-10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F-1</w:t>
      </w:r>
    </w:p>
    <w:p>
      <w:pPr>
        <w:sectPr>
          <w:pgSz w:w="11900" w:h="16838" w:orient="portrait"/>
          <w:cols w:equalWidth="0" w:num="1">
            <w:col w:w="11220"/>
          </w:cols>
          <w:pgMar w:left="340" w:top="1440" w:right="339" w:bottom="1440" w:gutter="0" w:footer="0" w:header="0"/>
        </w:sectPr>
      </w:pPr>
    </w:p>
    <w:bookmarkStart w:id="161" w:name="page162"/>
    <w:bookmarkEnd w:id="161"/>
    <w:p>
      <w:pPr>
        <w:spacing w:after="0" w:line="140" w:lineRule="exact"/>
        <w:rPr>
          <w:sz w:val="20"/>
          <w:szCs w:val="20"/>
          <w:color w:val="auto"/>
        </w:rPr>
      </w:pPr>
    </w:p>
    <w:p>
      <w:pPr>
        <w:ind w:right="2540" w:firstLine="2535"/>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Board of Directors of NerdWallet,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audited the accompanying consolidated balance sheets of NerdWallet, Inc. and its subsidiaries (the “Company”) as of December 31, 2020 and 2019, the related consolidated statements of operations and comprehensive income (loss), redeemable convertible preferred stock and stockholders’ equity (deficit) and cash flows for the years ended December 31, 2020 and 2019, and the related notes to the consolidated financial statements (collectively referred to as the “financial statements”). In our opinion, the financial statements present fairly, in all material respects, the financial position of the Company as of December 31, 2020 and 2019 and the results of its operations and cash flows for the years ended December 31, 2020 and 2019 in conformity with accounting principles generally accepted in the United States of America.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May 3, 2021 (October 20, 2021 as to the effect of the reverse stock split described in Note 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w:t>
      </w:r>
    </w:p>
    <w:p>
      <w:pPr>
        <w:sectPr>
          <w:pgSz w:w="11900" w:h="16838" w:orient="portrait"/>
          <w:cols w:equalWidth="0" w:num="1">
            <w:col w:w="11240"/>
          </w:cols>
          <w:pgMar w:left="320" w:top="1440" w:right="339" w:bottom="1440" w:gutter="0" w:footer="0" w:header="0"/>
        </w:sectPr>
      </w:pPr>
    </w:p>
    <w:bookmarkStart w:id="162" w:name="page163"/>
    <w:bookmarkEnd w:id="162"/>
    <w:p>
      <w:pPr>
        <w:ind w:left="3880"/>
        <w:spacing w:after="0"/>
        <w:rPr>
          <w:sz w:val="20"/>
          <w:szCs w:val="20"/>
          <w:color w:val="auto"/>
        </w:rPr>
      </w:pPr>
      <w:r>
        <w:rPr>
          <w:rFonts w:ascii="Arial" w:cs="Arial" w:eastAsia="Arial" w:hAnsi="Arial"/>
          <w:sz w:val="18"/>
          <w:szCs w:val="18"/>
          <w:b w:val="1"/>
          <w:bCs w:val="1"/>
          <w:color w:val="auto"/>
        </w:rPr>
        <w:t>NERDWALLET, INC. AND SUBSIDIARIES</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 which are in thousands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09"/>
        </w:trPr>
        <w:tc>
          <w:tcPr>
            <w:tcW w:w="6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7"/>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7"/>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9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EQUIPMENT, AND SOFTWARE—Net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INTANGIBLES—Net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4"/>
                <w:szCs w:val="14"/>
                <w:color w:val="auto"/>
              </w:rPr>
              <w:t>DEFERRED TAX ASSET—Noncurrent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41"/>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4"/>
                <w:szCs w:val="14"/>
                <w:b w:val="1"/>
                <w:bCs w:val="1"/>
                <w:color w:val="auto"/>
              </w:rPr>
              <w:t>LIABILITIES, REDEEMABLE CONVERTIBLE PREFERRED STOCK AND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7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6720" w:type="dxa"/>
            <w:vAlign w:val="bottom"/>
          </w:tcPr>
          <w:p>
            <w:pPr>
              <w:ind w:left="180"/>
              <w:spacing w:after="0"/>
              <w:rPr>
                <w:sz w:val="20"/>
                <w:szCs w:val="20"/>
                <w:color w:val="auto"/>
              </w:rPr>
            </w:pPr>
            <w:r>
              <w:rPr>
                <w:rFonts w:ascii="Arial" w:cs="Arial" w:eastAsia="Arial" w:hAnsi="Arial"/>
                <w:sz w:val="14"/>
                <w:szCs w:val="14"/>
                <w:b w:val="1"/>
                <w:bCs w:val="1"/>
                <w:color w:val="auto"/>
              </w:rPr>
              <w:t>EQUITY</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72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91"/>
        </w:trPr>
        <w:tc>
          <w:tcPr>
            <w:tcW w:w="6720" w:type="dxa"/>
            <w:vAlign w:val="bottom"/>
          </w:tcPr>
          <w:p>
            <w:pPr>
              <w:ind w:left="20"/>
              <w:spacing w:after="0"/>
              <w:rPr>
                <w:sz w:val="20"/>
                <w:szCs w:val="20"/>
                <w:color w:val="auto"/>
              </w:rPr>
            </w:pPr>
            <w:r>
              <w:rPr>
                <w:rFonts w:ascii="Arial" w:cs="Arial" w:eastAsia="Arial" w:hAnsi="Arial"/>
                <w:sz w:val="14"/>
                <w:szCs w:val="14"/>
                <w:color w:val="auto"/>
              </w:rPr>
              <w:t>Contingent consideration—Current</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672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CONTINGENT CONSIDERATION—Noncurrent</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1"/>
        </w:trPr>
        <w:tc>
          <w:tcPr>
            <w:tcW w:w="6720" w:type="dxa"/>
            <w:vAlign w:val="bottom"/>
          </w:tcPr>
          <w:p>
            <w:pPr>
              <w:ind w:left="20"/>
              <w:spacing w:after="0"/>
              <w:rPr>
                <w:sz w:val="20"/>
                <w:szCs w:val="20"/>
                <w:color w:val="auto"/>
              </w:rPr>
            </w:pPr>
            <w:r>
              <w:rPr>
                <w:rFonts w:ascii="Arial" w:cs="Arial" w:eastAsia="Arial" w:hAnsi="Arial"/>
                <w:sz w:val="14"/>
                <w:szCs w:val="14"/>
                <w:color w:val="auto"/>
              </w:rPr>
              <w:t>DEBT—Noncurrent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LIABILITY—Noncurrent</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1"/>
        </w:trPr>
        <w:tc>
          <w:tcPr>
            <w:tcW w:w="6720" w:type="dxa"/>
            <w:vAlign w:val="bottom"/>
          </w:tcPr>
          <w:p>
            <w:pPr>
              <w:ind w:left="20"/>
              <w:spacing w:after="0"/>
              <w:rPr>
                <w:sz w:val="20"/>
                <w:szCs w:val="20"/>
                <w:color w:val="auto"/>
              </w:rPr>
            </w:pPr>
            <w:r>
              <w:rPr>
                <w:rFonts w:ascii="Arial" w:cs="Arial" w:eastAsia="Arial" w:hAnsi="Arial"/>
                <w:sz w:val="14"/>
                <w:szCs w:val="14"/>
                <w:color w:val="auto"/>
              </w:rPr>
              <w:t>OTHER LIABILITIES—Noncurrent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5"/>
        </w:trPr>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91"/>
        </w:trPr>
        <w:tc>
          <w:tcPr>
            <w:tcW w:w="6720" w:type="dxa"/>
            <w:vAlign w:val="bottom"/>
          </w:tcPr>
          <w:p>
            <w:pPr>
              <w:ind w:left="20"/>
              <w:spacing w:after="0"/>
              <w:rPr>
                <w:sz w:val="20"/>
                <w:szCs w:val="20"/>
                <w:color w:val="auto"/>
              </w:rPr>
            </w:pPr>
            <w:r>
              <w:rPr>
                <w:rFonts w:ascii="Arial" w:cs="Arial" w:eastAsia="Arial" w:hAnsi="Arial"/>
                <w:sz w:val="14"/>
                <w:szCs w:val="14"/>
                <w:color w:val="auto"/>
              </w:rPr>
              <w:t>COMMITMENTS AND CONTINGENCIES (Note 8)</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A REDEEMABLE CONVERTIBLE PREFERRED STOCK—$0.0001</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20"/>
              <w:spacing w:after="0" w:line="135" w:lineRule="exact"/>
              <w:rPr>
                <w:sz w:val="20"/>
                <w:szCs w:val="20"/>
                <w:color w:val="auto"/>
              </w:rPr>
            </w:pPr>
            <w:r>
              <w:rPr>
                <w:rFonts w:ascii="Arial" w:cs="Arial" w:eastAsia="Arial" w:hAnsi="Arial"/>
                <w:sz w:val="14"/>
                <w:szCs w:val="14"/>
                <w:color w:val="auto"/>
                <w:w w:val="99"/>
              </w:rPr>
              <w:t>Par value per-share—8,651 shares authorized as of December 31, 2019 and 2020 and September 30, 2021</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180"/>
              <w:spacing w:after="0" w:line="135" w:lineRule="exact"/>
              <w:rPr>
                <w:sz w:val="20"/>
                <w:szCs w:val="20"/>
                <w:color w:val="auto"/>
              </w:rPr>
            </w:pPr>
            <w:r>
              <w:rPr>
                <w:rFonts w:ascii="Arial" w:cs="Arial" w:eastAsia="Arial" w:hAnsi="Arial"/>
                <w:sz w:val="14"/>
                <w:szCs w:val="14"/>
                <w:color w:val="auto"/>
                <w:w w:val="91"/>
              </w:rPr>
              <w:t>(unaudited); 7,687 shares issued and outstanding as of December 31, 2019 and 2020 and 7,527 shares issued and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180"/>
              <w:spacing w:after="0" w:line="135" w:lineRule="exact"/>
              <w:rPr>
                <w:sz w:val="20"/>
                <w:szCs w:val="20"/>
                <w:color w:val="auto"/>
              </w:rPr>
            </w:pPr>
            <w:r>
              <w:rPr>
                <w:rFonts w:ascii="Arial" w:cs="Arial" w:eastAsia="Arial" w:hAnsi="Arial"/>
                <w:sz w:val="14"/>
                <w:szCs w:val="14"/>
                <w:color w:val="auto"/>
                <w:w w:val="96"/>
              </w:rPr>
              <w:t>outstanding as of September 30, 2021 (unaudited); liquidation preference of $69.0 million as of December 31,</w:t>
            </w: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86"/>
        </w:trPr>
        <w:tc>
          <w:tcPr>
            <w:tcW w:w="6720" w:type="dxa"/>
            <w:vAlign w:val="bottom"/>
          </w:tcPr>
          <w:p>
            <w:pPr>
              <w:ind w:left="180"/>
              <w:spacing w:after="0"/>
              <w:rPr>
                <w:sz w:val="20"/>
                <w:szCs w:val="20"/>
                <w:color w:val="auto"/>
              </w:rPr>
            </w:pPr>
            <w:r>
              <w:rPr>
                <w:rFonts w:ascii="Arial" w:cs="Arial" w:eastAsia="Arial" w:hAnsi="Arial"/>
                <w:sz w:val="14"/>
                <w:szCs w:val="14"/>
                <w:color w:val="auto"/>
              </w:rPr>
              <w:t>2019 and 2020 and $67.6 million as of September 30, 2021 (unaudited)</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20"/>
              <w:spacing w:after="0" w:line="135" w:lineRule="exact"/>
              <w:rPr>
                <w:sz w:val="20"/>
                <w:szCs w:val="20"/>
                <w:color w:val="auto"/>
              </w:rPr>
            </w:pPr>
            <w:r>
              <w:rPr>
                <w:rFonts w:ascii="Arial" w:cs="Arial" w:eastAsia="Arial" w:hAnsi="Arial"/>
                <w:sz w:val="14"/>
                <w:szCs w:val="14"/>
                <w:color w:val="auto"/>
                <w:w w:val="93"/>
              </w:rPr>
              <w:t>Common stock—$0.0001 par value per-share— 127,500 shares authorized as of December 31, 2019 and 2020 and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180"/>
              <w:spacing w:after="0" w:line="135" w:lineRule="exact"/>
              <w:rPr>
                <w:sz w:val="20"/>
                <w:szCs w:val="20"/>
                <w:color w:val="auto"/>
              </w:rPr>
            </w:pPr>
            <w:r>
              <w:rPr>
                <w:rFonts w:ascii="Arial" w:cs="Arial" w:eastAsia="Arial" w:hAnsi="Arial"/>
                <w:sz w:val="14"/>
                <w:szCs w:val="14"/>
                <w:color w:val="auto"/>
                <w:w w:val="93"/>
              </w:rPr>
              <w:t>September 30, 2021 (unaudited); 42,308, 48,853 and 49,971 shares issued and outstanding as of December 31,</w:t>
            </w:r>
          </w:p>
        </w:tc>
        <w:tc>
          <w:tcPr>
            <w:tcW w:w="34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20" w:type="dxa"/>
            <w:vAlign w:val="bottom"/>
          </w:tcPr>
          <w:p>
            <w:pPr>
              <w:ind w:left="180"/>
              <w:spacing w:after="0"/>
              <w:rPr>
                <w:sz w:val="20"/>
                <w:szCs w:val="20"/>
                <w:color w:val="auto"/>
              </w:rPr>
            </w:pPr>
            <w:r>
              <w:rPr>
                <w:rFonts w:ascii="Arial" w:cs="Arial" w:eastAsia="Arial" w:hAnsi="Arial"/>
                <w:sz w:val="14"/>
                <w:szCs w:val="14"/>
                <w:color w:val="auto"/>
              </w:rPr>
              <w:t>2019 and 2020 and September 30, 2021 (unaudited)</w:t>
            </w: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67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90"/>
        </w:trPr>
        <w:tc>
          <w:tcPr>
            <w:tcW w:w="672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5"/>
        </w:trPr>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50"/>
        </w:trPr>
        <w:tc>
          <w:tcPr>
            <w:tcW w:w="6720" w:type="dxa"/>
            <w:vAlign w:val="bottom"/>
          </w:tcPr>
          <w:p>
            <w:pPr>
              <w:ind w:left="20"/>
              <w:spacing w:after="0" w:line="151" w:lineRule="exact"/>
              <w:rPr>
                <w:sz w:val="20"/>
                <w:szCs w:val="20"/>
                <w:color w:val="auto"/>
              </w:rPr>
            </w:pPr>
            <w:r>
              <w:rPr>
                <w:rFonts w:ascii="Arial" w:cs="Arial" w:eastAsia="Arial" w:hAnsi="Arial"/>
                <w:sz w:val="14"/>
                <w:szCs w:val="14"/>
                <w:color w:val="auto"/>
              </w:rPr>
              <w:t>TOTAL LIABILITIES, REDEEMABLE CONVERTIBLE PREFERRED STOCK AND STOCKHOLDERS’</w:t>
            </w:r>
          </w:p>
        </w:tc>
        <w:tc>
          <w:tcPr>
            <w:tcW w:w="34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144.6</w:t>
            </w:r>
          </w:p>
        </w:tc>
        <w:tc>
          <w:tcPr>
            <w:tcW w:w="100" w:type="dxa"/>
            <w:vAlign w:val="bottom"/>
          </w:tcPr>
          <w:p>
            <w:pPr>
              <w:spacing w:after="0"/>
              <w:rPr>
                <w:sz w:val="13"/>
                <w:szCs w:val="13"/>
                <w:color w:val="auto"/>
              </w:rPr>
            </w:pPr>
          </w:p>
        </w:tc>
        <w:tc>
          <w:tcPr>
            <w:tcW w:w="48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255.2</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186"/>
        </w:trPr>
        <w:tc>
          <w:tcPr>
            <w:tcW w:w="6720" w:type="dxa"/>
            <w:vAlign w:val="bottom"/>
          </w:tcPr>
          <w:p>
            <w:pPr>
              <w:ind w:left="180"/>
              <w:spacing w:after="0"/>
              <w:rPr>
                <w:sz w:val="20"/>
                <w:szCs w:val="20"/>
                <w:color w:val="auto"/>
              </w:rPr>
            </w:pPr>
            <w:r>
              <w:rPr>
                <w:rFonts w:ascii="Arial" w:cs="Arial" w:eastAsia="Arial" w:hAnsi="Arial"/>
                <w:sz w:val="14"/>
                <w:szCs w:val="14"/>
                <w:color w:val="auto"/>
              </w:rPr>
              <w:t>EQUITY</w:t>
            </w:r>
          </w:p>
        </w:tc>
        <w:tc>
          <w:tcPr>
            <w:tcW w:w="34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w:t>
      </w:r>
    </w:p>
    <w:p>
      <w:pPr>
        <w:sectPr>
          <w:pgSz w:w="11900" w:h="16838" w:orient="portrait"/>
          <w:cols w:equalWidth="0" w:num="1">
            <w:col w:w="11240"/>
          </w:cols>
          <w:pgMar w:left="320" w:top="121" w:right="339" w:bottom="1440" w:gutter="0" w:footer="0" w:header="0"/>
        </w:sectPr>
      </w:pPr>
    </w:p>
    <w:bookmarkStart w:id="163" w:name="page164"/>
    <w:bookmarkEnd w:id="163"/>
    <w:p>
      <w:pPr>
        <w:ind w:left="3880"/>
        <w:spacing w:after="0"/>
        <w:rPr>
          <w:sz w:val="20"/>
          <w:szCs w:val="20"/>
          <w:color w:val="auto"/>
        </w:rPr>
      </w:pPr>
      <w:r>
        <w:rPr>
          <w:rFonts w:ascii="Arial" w:cs="Arial" w:eastAsia="Arial" w:hAnsi="Arial"/>
          <w:sz w:val="18"/>
          <w:szCs w:val="18"/>
          <w:b w:val="1"/>
          <w:bCs w:val="1"/>
          <w:color w:val="auto"/>
        </w:rPr>
        <w:t>NERDWALLET, INC. AND SUBSIDIARIES</w:t>
      </w:r>
    </w:p>
    <w:p>
      <w:pPr>
        <w:spacing w:after="0" w:line="171"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ind w:right="508"/>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ind w:left="800"/>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280.1</w:t>
            </w:r>
          </w:p>
        </w:tc>
        <w:tc>
          <w:tcPr>
            <w:tcW w:w="0" w:type="dxa"/>
            <w:vAlign w:val="bottom"/>
          </w:tcPr>
          <w:p>
            <w:pPr>
              <w:spacing w:after="0"/>
              <w:rPr>
                <w:sz w:val="1"/>
                <w:szCs w:val="1"/>
                <w:color w:val="auto"/>
              </w:rPr>
            </w:pPr>
          </w:p>
        </w:tc>
      </w:tr>
      <w:tr>
        <w:trPr>
          <w:trHeight w:val="170"/>
        </w:trPr>
        <w:tc>
          <w:tcPr>
            <w:tcW w:w="522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9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fair value of contingent consideration related to earnouts</w:t>
            </w:r>
          </w:p>
        </w:tc>
        <w:tc>
          <w:tcPr>
            <w:tcW w:w="9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4"/>
        </w:trPr>
        <w:tc>
          <w:tcPr>
            <w:tcW w:w="5220" w:type="dxa"/>
            <w:vAlign w:val="bottom"/>
          </w:tcPr>
          <w:p>
            <w:pPr>
              <w:ind w:left="20"/>
              <w:spacing w:after="0"/>
              <w:rPr>
                <w:sz w:val="20"/>
                <w:szCs w:val="20"/>
                <w:color w:val="auto"/>
              </w:rPr>
            </w:pPr>
            <w:r>
              <w:rPr>
                <w:rFonts w:ascii="Arial" w:cs="Arial" w:eastAsia="Arial" w:hAnsi="Arial"/>
                <w:sz w:val="14"/>
                <w:szCs w:val="14"/>
                <w:color w:val="auto"/>
              </w:rPr>
              <w:t>Total costs and expenses</w:t>
            </w:r>
          </w:p>
        </w:tc>
        <w:tc>
          <w:tcPr>
            <w:tcW w:w="9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243.4</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181.5</w:t>
            </w: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309.7</w:t>
            </w: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9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70"/>
        </w:trPr>
        <w:tc>
          <w:tcPr>
            <w:tcW w:w="52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9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800"/>
              <w:spacing w:after="0"/>
              <w:rPr>
                <w:sz w:val="20"/>
                <w:szCs w:val="20"/>
                <w:color w:val="auto"/>
              </w:rPr>
            </w:pPr>
            <w:r>
              <w:rPr>
                <w:rFonts w:ascii="Arial" w:cs="Arial" w:eastAsia="Arial" w:hAnsi="Arial"/>
                <w:sz w:val="14"/>
                <w:szCs w:val="14"/>
                <w:color w:val="auto"/>
                <w:w w:val="97"/>
              </w:rPr>
              <w:t>(0.8)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gains (losses), net</w:t>
            </w:r>
          </w:p>
        </w:tc>
        <w:tc>
          <w:tcPr>
            <w:tcW w:w="9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4"/>
        </w:trPr>
        <w:tc>
          <w:tcPr>
            <w:tcW w:w="5220" w:type="dxa"/>
            <w:vAlign w:val="bottom"/>
          </w:tcPr>
          <w:p>
            <w:pPr>
              <w:ind w:left="20"/>
              <w:spacing w:after="0"/>
              <w:rPr>
                <w:sz w:val="20"/>
                <w:szCs w:val="20"/>
                <w:color w:val="auto"/>
              </w:rPr>
            </w:pPr>
            <w:r>
              <w:rPr>
                <w:rFonts w:ascii="Arial" w:cs="Arial" w:eastAsia="Arial" w:hAnsi="Arial"/>
                <w:sz w:val="14"/>
                <w:szCs w:val="14"/>
                <w:color w:val="auto"/>
              </w:rPr>
              <w:t>Total other income (expense)</w:t>
            </w:r>
          </w:p>
        </w:tc>
        <w:tc>
          <w:tcPr>
            <w:tcW w:w="9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800"/>
              <w:spacing w:after="0"/>
              <w:rPr>
                <w:sz w:val="20"/>
                <w:szCs w:val="20"/>
                <w:color w:val="auto"/>
              </w:rPr>
            </w:pPr>
            <w:r>
              <w:rPr>
                <w:rFonts w:ascii="Arial" w:cs="Arial" w:eastAsia="Arial" w:hAnsi="Arial"/>
                <w:sz w:val="14"/>
                <w:szCs w:val="14"/>
                <w:color w:val="auto"/>
                <w:w w:val="97"/>
              </w:rPr>
              <w:t>(0.6)</w:t>
            </w: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9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rPr>
                <w:sz w:val="20"/>
                <w:szCs w:val="20"/>
                <w:color w:val="auto"/>
              </w:rPr>
            </w:pPr>
            <w:r>
              <w:rPr>
                <w:rFonts w:ascii="Arial" w:cs="Arial" w:eastAsia="Arial" w:hAnsi="Arial"/>
                <w:sz w:val="14"/>
                <w:szCs w:val="14"/>
                <w:color w:val="auto"/>
              </w:rPr>
              <w:t>INCOME TAX PROVISION (BENEFIT)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800"/>
              <w:spacing w:after="0"/>
              <w:rPr>
                <w:sz w:val="20"/>
                <w:szCs w:val="20"/>
                <w:color w:val="auto"/>
              </w:rPr>
            </w:pPr>
            <w:r>
              <w:rPr>
                <w:rFonts w:ascii="Arial" w:cs="Arial" w:eastAsia="Arial" w:hAnsi="Arial"/>
                <w:sz w:val="14"/>
                <w:szCs w:val="14"/>
                <w:color w:val="auto"/>
                <w:w w:val="97"/>
              </w:rPr>
              <w:t>(2.2)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9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50"/>
        </w:trPr>
        <w:tc>
          <w:tcPr>
            <w:tcW w:w="5220" w:type="dxa"/>
            <w:vAlign w:val="bottom"/>
          </w:tcPr>
          <w:p>
            <w:pPr>
              <w:ind w:left="20"/>
              <w:spacing w:after="0" w:line="151" w:lineRule="exact"/>
              <w:rPr>
                <w:sz w:val="20"/>
                <w:szCs w:val="20"/>
                <w:color w:val="auto"/>
              </w:rPr>
            </w:pPr>
            <w:r>
              <w:rPr>
                <w:rFonts w:ascii="Arial" w:cs="Arial" w:eastAsia="Arial" w:hAnsi="Arial"/>
                <w:sz w:val="14"/>
                <w:szCs w:val="14"/>
                <w:color w:val="auto"/>
              </w:rPr>
              <w:t>OTHER COMPREHENSIVE INCOME, NET OF TAX—</w:t>
            </w:r>
          </w:p>
        </w:tc>
        <w:tc>
          <w:tcPr>
            <w:tcW w:w="9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220" w:type="dxa"/>
            <w:vAlign w:val="bottom"/>
          </w:tcPr>
          <w:p>
            <w:pPr>
              <w:ind w:left="180"/>
              <w:spacing w:after="0"/>
              <w:rPr>
                <w:sz w:val="20"/>
                <w:szCs w:val="20"/>
                <w:color w:val="auto"/>
              </w:rPr>
            </w:pPr>
            <w:r>
              <w:rPr>
                <w:rFonts w:ascii="Arial" w:cs="Arial" w:eastAsia="Arial" w:hAnsi="Arial"/>
                <w:sz w:val="14"/>
                <w:szCs w:val="14"/>
                <w:color w:val="auto"/>
              </w:rPr>
              <w:t>Change in foreign currency translation</w:t>
            </w:r>
          </w:p>
        </w:tc>
        <w:tc>
          <w:tcPr>
            <w:tcW w:w="96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5"/>
        </w:trPr>
        <w:tc>
          <w:tcPr>
            <w:tcW w:w="5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Arial" w:cs="Arial" w:eastAsia="Arial" w:hAnsi="Arial"/>
                <w:sz w:val="14"/>
                <w:szCs w:val="14"/>
                <w:color w:val="auto"/>
              </w:rPr>
              <w:t>NET INCOME (LOSS) PER SHARE ATTRIBUTABLE TO CLASS A AND CLASS F</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2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220" w:type="dxa"/>
            <w:vAlign w:val="bottom"/>
          </w:tcPr>
          <w:p>
            <w:pPr>
              <w:ind w:left="180"/>
              <w:spacing w:after="0"/>
              <w:rPr>
                <w:sz w:val="20"/>
                <w:szCs w:val="20"/>
                <w:color w:val="auto"/>
              </w:rPr>
            </w:pPr>
            <w:r>
              <w:rPr>
                <w:rFonts w:ascii="Arial" w:cs="Arial" w:eastAsia="Arial" w:hAnsi="Arial"/>
                <w:sz w:val="14"/>
                <w:szCs w:val="14"/>
                <w:color w:val="auto"/>
              </w:rPr>
              <w:t>COMMON STOCKHOLDERS</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rPr>
                <w:sz w:val="20"/>
                <w:szCs w:val="20"/>
                <w:color w:val="auto"/>
              </w:rPr>
            </w:pPr>
            <w:r>
              <w:rPr>
                <w:rFonts w:ascii="Arial" w:cs="Arial" w:eastAsia="Arial" w:hAnsi="Arial"/>
                <w:sz w:val="14"/>
                <w:szCs w:val="14"/>
                <w:color w:val="auto"/>
              </w:rPr>
              <w:t>Diluted</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0.09</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6"/>
                <w:szCs w:val="16"/>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USED IN COMPUTING NET INCOME (LOSS)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PER SHARE ATTRIBUTABLE TO CLASS A COMMON STOCKHOLDERS</w:t>
            </w:r>
          </w:p>
        </w:tc>
        <w:tc>
          <w:tcPr>
            <w:tcW w:w="9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20"/>
              <w:spacing w:after="0"/>
              <w:rPr>
                <w:sz w:val="20"/>
                <w:szCs w:val="20"/>
                <w:color w:val="auto"/>
              </w:rPr>
            </w:pPr>
            <w:r>
              <w:rPr>
                <w:rFonts w:ascii="Arial" w:cs="Arial" w:eastAsia="Arial" w:hAnsi="Arial"/>
                <w:sz w:val="14"/>
                <w:szCs w:val="14"/>
                <w:color w:val="auto"/>
              </w:rPr>
              <w:t>Basic</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70"/>
        </w:trPr>
        <w:tc>
          <w:tcPr>
            <w:tcW w:w="5220" w:type="dxa"/>
            <w:vAlign w:val="bottom"/>
          </w:tcPr>
          <w:p>
            <w:pPr>
              <w:ind w:left="20"/>
              <w:spacing w:after="0"/>
              <w:rPr>
                <w:sz w:val="20"/>
                <w:szCs w:val="20"/>
                <w:color w:val="auto"/>
              </w:rPr>
            </w:pPr>
            <w:r>
              <w:rPr>
                <w:rFonts w:ascii="Arial" w:cs="Arial" w:eastAsia="Arial" w:hAnsi="Arial"/>
                <w:sz w:val="14"/>
                <w:szCs w:val="14"/>
                <w:color w:val="auto"/>
              </w:rPr>
              <w:t>WEIGHTED-AVERAGE SHARES USED IN COMPUTING NET INCOME (LOSS)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20" w:type="dxa"/>
            <w:vAlign w:val="bottom"/>
          </w:tcPr>
          <w:p>
            <w:pPr>
              <w:ind w:left="180"/>
              <w:spacing w:after="0"/>
              <w:rPr>
                <w:sz w:val="20"/>
                <w:szCs w:val="20"/>
                <w:color w:val="auto"/>
              </w:rPr>
            </w:pPr>
            <w:r>
              <w:rPr>
                <w:rFonts w:ascii="Arial" w:cs="Arial" w:eastAsia="Arial" w:hAnsi="Arial"/>
                <w:sz w:val="14"/>
                <w:szCs w:val="14"/>
                <w:color w:val="auto"/>
              </w:rPr>
              <w:t>PER SHARE ATTRIBUTABLE TO CLASS F COMMON STOCKHOLDERS</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91"/>
        </w:trPr>
        <w:tc>
          <w:tcPr>
            <w:tcW w:w="5220" w:type="dxa"/>
            <w:vAlign w:val="bottom"/>
          </w:tcPr>
          <w:p>
            <w:pPr>
              <w:ind w:left="20"/>
              <w:spacing w:after="0"/>
              <w:rPr>
                <w:sz w:val="20"/>
                <w:szCs w:val="20"/>
                <w:color w:val="auto"/>
              </w:rPr>
            </w:pPr>
            <w:r>
              <w:rPr>
                <w:rFonts w:ascii="Arial" w:cs="Arial" w:eastAsia="Arial" w:hAnsi="Arial"/>
                <w:sz w:val="14"/>
                <w:szCs w:val="14"/>
                <w:color w:val="auto"/>
              </w:rPr>
              <w:t>Diluted</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F-4</w:t>
      </w:r>
    </w:p>
    <w:p>
      <w:pPr>
        <w:sectPr>
          <w:pgSz w:w="11900" w:h="16838" w:orient="portrait"/>
          <w:cols w:equalWidth="0" w:num="1">
            <w:col w:w="11240"/>
          </w:cols>
          <w:pgMar w:left="320" w:top="337" w:right="339" w:bottom="1440" w:gutter="0" w:footer="0" w:header="0"/>
        </w:sectPr>
      </w:pPr>
    </w:p>
    <w:bookmarkStart w:id="164" w:name="page165"/>
    <w:bookmarkEnd w:id="164"/>
    <w:p>
      <w:pPr>
        <w:ind w:left="3860"/>
        <w:spacing w:after="0"/>
        <w:rPr>
          <w:sz w:val="20"/>
          <w:szCs w:val="20"/>
          <w:color w:val="auto"/>
        </w:rPr>
      </w:pPr>
      <w:r>
        <w:rPr>
          <w:rFonts w:ascii="Arial" w:cs="Arial" w:eastAsia="Arial" w:hAnsi="Arial"/>
          <w:sz w:val="18"/>
          <w:szCs w:val="18"/>
          <w:b w:val="1"/>
          <w:bCs w:val="1"/>
          <w:color w:val="auto"/>
        </w:rPr>
        <w:t>NERDWALLET,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 which are in thousands)</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 December 31, 2018</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Impact of ASU 2016-16 adoption</w:t>
      </w:r>
    </w:p>
    <w:p>
      <w:pPr>
        <w:spacing w:after="0" w:line="53" w:lineRule="exact"/>
        <w:rPr>
          <w:sz w:val="20"/>
          <w:szCs w:val="20"/>
          <w:color w:val="auto"/>
        </w:rPr>
      </w:pPr>
    </w:p>
    <w:p>
      <w:pPr>
        <w:spacing w:after="0" w:line="340" w:lineRule="auto"/>
        <w:rPr>
          <w:sz w:val="20"/>
          <w:szCs w:val="20"/>
          <w:color w:val="auto"/>
        </w:rPr>
      </w:pPr>
      <w:r>
        <w:rPr>
          <w:rFonts w:ascii="Arial" w:cs="Arial" w:eastAsia="Arial" w:hAnsi="Arial"/>
          <w:sz w:val="12"/>
          <w:szCs w:val="12"/>
          <w:color w:val="auto"/>
        </w:rPr>
        <w:t>Issuance of Class A common stock upon exercise of stock options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Repurchase of stock options</w:t>
      </w:r>
    </w:p>
    <w:p>
      <w:pPr>
        <w:spacing w:after="0" w:line="28" w:lineRule="exact"/>
        <w:rPr>
          <w:sz w:val="20"/>
          <w:szCs w:val="20"/>
          <w:color w:val="auto"/>
        </w:rPr>
      </w:pPr>
    </w:p>
    <w:p>
      <w:pPr>
        <w:ind w:left="160" w:right="160" w:hanging="161"/>
        <w:spacing w:after="0" w:line="236" w:lineRule="auto"/>
        <w:rPr>
          <w:sz w:val="20"/>
          <w:szCs w:val="20"/>
          <w:color w:val="auto"/>
        </w:rPr>
      </w:pPr>
      <w:r>
        <w:rPr>
          <w:rFonts w:ascii="Arial" w:cs="Arial" w:eastAsia="Arial" w:hAnsi="Arial"/>
          <w:sz w:val="14"/>
          <w:szCs w:val="14"/>
          <w:color w:val="auto"/>
        </w:rPr>
        <w:t>Repurchase of Class A common stock</w:t>
      </w:r>
    </w:p>
    <w:p>
      <w:pPr>
        <w:spacing w:after="0" w:line="34" w:lineRule="exact"/>
        <w:rPr>
          <w:sz w:val="20"/>
          <w:szCs w:val="20"/>
          <w:color w:val="auto"/>
        </w:rPr>
      </w:pPr>
    </w:p>
    <w:p>
      <w:pPr>
        <w:ind w:right="480"/>
        <w:spacing w:after="0" w:line="354" w:lineRule="auto"/>
        <w:rPr>
          <w:sz w:val="20"/>
          <w:szCs w:val="20"/>
          <w:color w:val="auto"/>
        </w:rPr>
      </w:pPr>
      <w:r>
        <w:rPr>
          <w:rFonts w:ascii="Arial" w:cs="Arial" w:eastAsia="Arial" w:hAnsi="Arial"/>
          <w:sz w:val="13"/>
          <w:szCs w:val="13"/>
          <w:color w:val="auto"/>
        </w:rPr>
        <w:t>Stock-based compensation Net income</w:t>
      </w:r>
    </w:p>
    <w:p>
      <w:pPr>
        <w:spacing w:after="0"/>
        <w:rPr>
          <w:sz w:val="20"/>
          <w:szCs w:val="20"/>
          <w:color w:val="auto"/>
        </w:rPr>
      </w:pPr>
      <w:r>
        <w:rPr>
          <w:rFonts w:ascii="Arial" w:cs="Arial" w:eastAsia="Arial" w:hAnsi="Arial"/>
          <w:sz w:val="13"/>
          <w:szCs w:val="13"/>
          <w:b w:val="1"/>
          <w:bCs w:val="1"/>
          <w:color w:val="auto"/>
        </w:rPr>
        <w:t>BALANCE -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Series A</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Redeemable Convertible</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10115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0" w:lineRule="exact"/>
        <w:rPr>
          <w:sz w:val="20"/>
          <w:szCs w:val="20"/>
          <w:color w:val="auto"/>
        </w:rPr>
      </w:pPr>
    </w:p>
    <w:p>
      <w:pPr>
        <w:ind w:left="200"/>
        <w:spacing w:after="0"/>
        <w:tabs>
          <w:tab w:leader="none" w:pos="980" w:val="left"/>
        </w:tabs>
        <w:rPr>
          <w:sz w:val="20"/>
          <w:szCs w:val="20"/>
          <w:color w:val="auto"/>
        </w:rPr>
      </w:pPr>
      <w:r>
        <w:rPr>
          <w:rFonts w:ascii="Arial" w:cs="Arial" w:eastAsia="Arial" w:hAnsi="Arial"/>
          <w:sz w:val="13"/>
          <w:szCs w:val="13"/>
          <w:b w:val="1"/>
          <w:bCs w:val="1"/>
          <w:color w:val="auto"/>
        </w:rPr>
        <w:t>Shares</w:t>
      </w:r>
      <w:r>
        <w:rPr>
          <w:sz w:val="20"/>
          <w:szCs w:val="20"/>
          <w:color w:val="auto"/>
        </w:rPr>
        <w:tab/>
      </w:r>
      <w:r>
        <w:rPr>
          <w:rFonts w:ascii="Arial" w:cs="Arial" w:eastAsia="Arial" w:hAnsi="Arial"/>
          <w:sz w:val="13"/>
          <w:szCs w:val="13"/>
          <w:b w:val="1"/>
          <w:bCs w:val="1"/>
          <w:color w:val="auto"/>
        </w:rPr>
        <w:t>Amount</w:t>
      </w:r>
    </w:p>
    <w:p>
      <w:pPr>
        <w:spacing w:after="0" w:line="84" w:lineRule="exact"/>
        <w:rPr>
          <w:sz w:val="20"/>
          <w:szCs w:val="20"/>
          <w:color w:val="auto"/>
        </w:rPr>
      </w:pPr>
    </w:p>
    <w:p>
      <w:pPr>
        <w:ind w:left="460"/>
        <w:spacing w:after="0"/>
        <w:tabs>
          <w:tab w:leader="none" w:pos="920" w:val="left"/>
          <w:tab w:leader="none" w:pos="1240" w:val="left"/>
        </w:tabs>
        <w:rPr>
          <w:sz w:val="20"/>
          <w:szCs w:val="20"/>
          <w:color w:val="auto"/>
        </w:rPr>
      </w:pPr>
      <w:r>
        <w:rPr>
          <w:rFonts w:ascii="Arial" w:cs="Arial" w:eastAsia="Arial" w:hAnsi="Arial"/>
          <w:sz w:val="14"/>
          <w:szCs w:val="14"/>
          <w:color w:val="auto"/>
        </w:rPr>
        <w:t>7,687</w:t>
        <w:tab/>
        <w:t>$</w:t>
      </w:r>
      <w:r>
        <w:rPr>
          <w:sz w:val="20"/>
          <w:szCs w:val="20"/>
          <w:color w:val="auto"/>
        </w:rPr>
        <w:tab/>
      </w:r>
      <w:r>
        <w:rPr>
          <w:rFonts w:ascii="Arial" w:cs="Arial" w:eastAsia="Arial" w:hAnsi="Arial"/>
          <w:sz w:val="13"/>
          <w:szCs w:val="13"/>
          <w:color w:val="auto"/>
        </w:rPr>
        <w:t>68.8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tabs>
          <w:tab w:leader="none" w:pos="920" w:val="left"/>
          <w:tab w:leader="none" w:pos="1240" w:val="left"/>
        </w:tabs>
        <w:rPr>
          <w:sz w:val="20"/>
          <w:szCs w:val="20"/>
          <w:color w:val="auto"/>
        </w:rPr>
      </w:pPr>
      <w:r>
        <w:rPr>
          <w:rFonts w:ascii="Arial" w:cs="Arial" w:eastAsia="Arial" w:hAnsi="Arial"/>
          <w:sz w:val="14"/>
          <w:szCs w:val="14"/>
          <w:color w:val="auto"/>
        </w:rPr>
        <w:t>7,687</w:t>
        <w:tab/>
        <w:t>$</w:t>
      </w:r>
      <w:r>
        <w:rPr>
          <w:sz w:val="20"/>
          <w:szCs w:val="20"/>
          <w:color w:val="auto"/>
        </w:rPr>
        <w:tab/>
      </w:r>
      <w:r>
        <w:rPr>
          <w:rFonts w:ascii="Arial" w:cs="Arial" w:eastAsia="Arial" w:hAnsi="Arial"/>
          <w:sz w:val="13"/>
          <w:szCs w:val="13"/>
          <w:color w:val="auto"/>
        </w:rPr>
        <w:t>68.8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Treasury Stock</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92"/>
        </w:trPr>
        <w:tc>
          <w:tcPr>
            <w:tcW w:w="132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7"/>
                <w:szCs w:val="7"/>
                <w:color w:val="auto"/>
              </w:rPr>
            </w:pPr>
          </w:p>
        </w:tc>
        <w:tc>
          <w:tcPr>
            <w:tcW w:w="7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6"/>
        </w:trPr>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0" w:type="dxa"/>
            <w:vAlign w:val="bottom"/>
          </w:tcPr>
          <w:p>
            <w:pPr>
              <w:jc w:val="right"/>
              <w:spacing w:after="0"/>
              <w:rPr>
                <w:sz w:val="20"/>
                <w:szCs w:val="20"/>
                <w:color w:val="auto"/>
              </w:rPr>
            </w:pPr>
            <w:r>
              <w:rPr>
                <w:rFonts w:ascii="Arial" w:cs="Arial" w:eastAsia="Arial" w:hAnsi="Arial"/>
                <w:sz w:val="14"/>
                <w:szCs w:val="14"/>
                <w:color w:val="auto"/>
              </w:rPr>
              <w:t>42,009</w:t>
            </w:r>
          </w:p>
        </w:tc>
        <w:tc>
          <w:tcPr>
            <w:tcW w:w="8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378"/>
        </w:trPr>
        <w:tc>
          <w:tcPr>
            <w:tcW w:w="860" w:type="dxa"/>
            <w:vAlign w:val="bottom"/>
          </w:tcPr>
          <w:p>
            <w:pPr>
              <w:jc w:val="right"/>
              <w:spacing w:after="0"/>
              <w:rPr>
                <w:sz w:val="20"/>
                <w:szCs w:val="20"/>
                <w:color w:val="auto"/>
              </w:rPr>
            </w:pPr>
            <w:r>
              <w:rPr>
                <w:rFonts w:ascii="Arial" w:cs="Arial" w:eastAsia="Arial" w:hAnsi="Arial"/>
                <w:sz w:val="14"/>
                <w:szCs w:val="14"/>
                <w:color w:val="auto"/>
              </w:rPr>
              <w:t>625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324"/>
        </w:trPr>
        <w:tc>
          <w:tcPr>
            <w:tcW w:w="860" w:type="dxa"/>
            <w:vAlign w:val="bottom"/>
          </w:tcPr>
          <w:p>
            <w:pPr>
              <w:jc w:val="right"/>
              <w:spacing w:after="0"/>
              <w:rPr>
                <w:sz w:val="20"/>
                <w:szCs w:val="20"/>
                <w:color w:val="auto"/>
              </w:rPr>
            </w:pPr>
            <w:r>
              <w:rPr>
                <w:rFonts w:ascii="Arial" w:cs="Arial" w:eastAsia="Arial" w:hAnsi="Arial"/>
                <w:sz w:val="14"/>
                <w:szCs w:val="14"/>
                <w:color w:val="auto"/>
              </w:rPr>
              <w:t>(326)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6"/>
        </w:trPr>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0" w:type="dxa"/>
            <w:vAlign w:val="bottom"/>
          </w:tcPr>
          <w:p>
            <w:pPr>
              <w:jc w:val="right"/>
              <w:spacing w:after="0"/>
              <w:rPr>
                <w:sz w:val="20"/>
                <w:szCs w:val="20"/>
                <w:color w:val="auto"/>
              </w:rPr>
            </w:pPr>
            <w:r>
              <w:rPr>
                <w:rFonts w:ascii="Arial" w:cs="Arial" w:eastAsia="Arial" w:hAnsi="Arial"/>
                <w:sz w:val="14"/>
                <w:szCs w:val="14"/>
                <w:color w:val="auto"/>
              </w:rPr>
              <w:t>42,308</w:t>
            </w:r>
          </w:p>
        </w:tc>
        <w:tc>
          <w:tcPr>
            <w:tcW w:w="8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-1268730</wp:posOffset>
            </wp:positionV>
            <wp:extent cx="7132320" cy="36429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6429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3">
            <w:col w:w="2020" w:space="100"/>
            <w:col w:w="1520" w:space="220"/>
            <w:col w:w="7360"/>
          </w:cols>
          <w:pgMar w:left="340" w:top="121" w:right="339" w:bottom="1440" w:gutter="0" w:footer="0" w:header="0"/>
          <w:type w:val="continuous"/>
        </w:sectPr>
      </w:pPr>
    </w:p>
    <w:p>
      <w:pPr>
        <w:ind w:left="160" w:right="1620" w:hanging="161"/>
        <w:spacing w:after="0" w:line="224" w:lineRule="auto"/>
        <w:rPr>
          <w:sz w:val="20"/>
          <w:szCs w:val="20"/>
          <w:color w:val="auto"/>
        </w:rPr>
      </w:pPr>
      <w:r>
        <w:rPr>
          <w:rFonts w:ascii="Arial" w:cs="Arial" w:eastAsia="Arial" w:hAnsi="Arial"/>
          <w:sz w:val="14"/>
          <w:szCs w:val="14"/>
          <w:color w:val="auto"/>
        </w:rPr>
        <w:t>Issuance of Class A common stock in connection with equity offering</w:t>
      </w:r>
    </w:p>
    <w:p>
      <w:pPr>
        <w:spacing w:after="0" w:line="231" w:lineRule="auto"/>
        <w:rPr>
          <w:sz w:val="20"/>
          <w:szCs w:val="20"/>
          <w:color w:val="auto"/>
        </w:rPr>
      </w:pPr>
      <w:r>
        <w:rPr>
          <w:rFonts w:ascii="Arial" w:cs="Arial" w:eastAsia="Arial" w:hAnsi="Arial"/>
          <w:sz w:val="14"/>
          <w:szCs w:val="14"/>
          <w:color w:val="auto"/>
        </w:rPr>
        <w:t>Issuance of Class A common stock</w:t>
      </w:r>
    </w:p>
    <w:tbl>
      <w:tblPr>
        <w:tblLayout w:type="fixed"/>
        <w:tblInd w:w="0" w:type="dxa"/>
        <w:tblCellMar>
          <w:top w:w="0" w:type="dxa"/>
          <w:left w:w="0" w:type="dxa"/>
          <w:bottom w:w="0" w:type="dxa"/>
          <w:right w:w="0" w:type="dxa"/>
        </w:tblCellMar>
      </w:tblPr>
      <w:tr>
        <w:trPr>
          <w:trHeight w:val="177"/>
        </w:trPr>
        <w:tc>
          <w:tcPr>
            <w:tcW w:w="2320" w:type="dxa"/>
            <w:vAlign w:val="bottom"/>
          </w:tcPr>
          <w:p>
            <w:pPr>
              <w:ind w:left="160"/>
              <w:spacing w:after="0"/>
              <w:rPr>
                <w:sz w:val="20"/>
                <w:szCs w:val="20"/>
                <w:color w:val="auto"/>
              </w:rPr>
            </w:pPr>
            <w:r>
              <w:rPr>
                <w:rFonts w:ascii="Arial" w:cs="Arial" w:eastAsia="Arial" w:hAnsi="Arial"/>
                <w:sz w:val="14"/>
                <w:szCs w:val="14"/>
                <w:color w:val="auto"/>
              </w:rPr>
              <w:t>upon exercise of stock options</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40"/>
        </w:trPr>
        <w:tc>
          <w:tcPr>
            <w:tcW w:w="2320" w:type="dxa"/>
            <w:vAlign w:val="bottom"/>
          </w:tcPr>
          <w:p>
            <w:pPr>
              <w:spacing w:after="0" w:line="141" w:lineRule="exact"/>
              <w:rPr>
                <w:sz w:val="20"/>
                <w:szCs w:val="20"/>
                <w:color w:val="auto"/>
              </w:rPr>
            </w:pPr>
            <w:r>
              <w:rPr>
                <w:rFonts w:ascii="Arial" w:cs="Arial" w:eastAsia="Arial" w:hAnsi="Arial"/>
                <w:sz w:val="14"/>
                <w:szCs w:val="14"/>
                <w:color w:val="auto"/>
              </w:rPr>
              <w:t>Issuance of Class A common stock</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35"/>
        </w:trPr>
        <w:tc>
          <w:tcPr>
            <w:tcW w:w="2320" w:type="dxa"/>
            <w:vAlign w:val="bottom"/>
          </w:tcPr>
          <w:p>
            <w:pPr>
              <w:ind w:left="160"/>
              <w:spacing w:after="0" w:line="135" w:lineRule="exact"/>
              <w:rPr>
                <w:sz w:val="20"/>
                <w:szCs w:val="20"/>
                <w:color w:val="auto"/>
              </w:rPr>
            </w:pPr>
            <w:r>
              <w:rPr>
                <w:rFonts w:ascii="Arial" w:cs="Arial" w:eastAsia="Arial" w:hAnsi="Arial"/>
                <w:sz w:val="14"/>
                <w:szCs w:val="14"/>
                <w:color w:val="auto"/>
              </w:rPr>
              <w:t>pursuant to settlement of</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82"/>
        </w:trPr>
        <w:tc>
          <w:tcPr>
            <w:tcW w:w="2320" w:type="dxa"/>
            <w:vAlign w:val="bottom"/>
          </w:tcPr>
          <w:p>
            <w:pPr>
              <w:ind w:left="160"/>
              <w:spacing w:after="0"/>
              <w:rPr>
                <w:sz w:val="20"/>
                <w:szCs w:val="20"/>
                <w:color w:val="auto"/>
              </w:rPr>
            </w:pPr>
            <w:r>
              <w:rPr>
                <w:rFonts w:ascii="Arial" w:cs="Arial" w:eastAsia="Arial" w:hAnsi="Arial"/>
                <w:sz w:val="14"/>
                <w:szCs w:val="14"/>
                <w:color w:val="auto"/>
              </w:rPr>
              <w:t>restricted stock units</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42"/>
        </w:trPr>
        <w:tc>
          <w:tcPr>
            <w:tcW w:w="2320" w:type="dxa"/>
            <w:vAlign w:val="bottom"/>
          </w:tcPr>
          <w:p>
            <w:pPr>
              <w:spacing w:after="0" w:line="142" w:lineRule="exact"/>
              <w:rPr>
                <w:sz w:val="20"/>
                <w:szCs w:val="20"/>
                <w:color w:val="auto"/>
              </w:rPr>
            </w:pPr>
            <w:r>
              <w:rPr>
                <w:rFonts w:ascii="Arial" w:cs="Arial" w:eastAsia="Arial" w:hAnsi="Arial"/>
                <w:sz w:val="14"/>
                <w:szCs w:val="14"/>
                <w:color w:val="auto"/>
              </w:rPr>
              <w:t>Class A common stock surrendered</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35"/>
        </w:trPr>
        <w:tc>
          <w:tcPr>
            <w:tcW w:w="2320" w:type="dxa"/>
            <w:vAlign w:val="bottom"/>
          </w:tcPr>
          <w:p>
            <w:pPr>
              <w:ind w:left="160"/>
              <w:spacing w:after="0" w:line="135" w:lineRule="exact"/>
              <w:rPr>
                <w:sz w:val="20"/>
                <w:szCs w:val="20"/>
                <w:color w:val="auto"/>
              </w:rPr>
            </w:pPr>
            <w:r>
              <w:rPr>
                <w:rFonts w:ascii="Arial" w:cs="Arial" w:eastAsia="Arial" w:hAnsi="Arial"/>
                <w:sz w:val="14"/>
                <w:szCs w:val="14"/>
                <w:color w:val="auto"/>
              </w:rPr>
              <w:t>for employees' tax liability upon</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2320" w:type="dxa"/>
            <w:vAlign w:val="bottom"/>
          </w:tcPr>
          <w:p>
            <w:pPr>
              <w:ind w:left="160"/>
              <w:spacing w:after="0" w:line="135" w:lineRule="exact"/>
              <w:rPr>
                <w:sz w:val="20"/>
                <w:szCs w:val="20"/>
                <w:color w:val="auto"/>
              </w:rPr>
            </w:pPr>
            <w:r>
              <w:rPr>
                <w:rFonts w:ascii="Arial" w:cs="Arial" w:eastAsia="Arial" w:hAnsi="Arial"/>
                <w:sz w:val="14"/>
                <w:szCs w:val="14"/>
                <w:color w:val="auto"/>
              </w:rPr>
              <w:t>settlement of restricted stock</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82"/>
        </w:trPr>
        <w:tc>
          <w:tcPr>
            <w:tcW w:w="2320" w:type="dxa"/>
            <w:vAlign w:val="bottom"/>
          </w:tcPr>
          <w:p>
            <w:pPr>
              <w:ind w:left="160"/>
              <w:spacing w:after="0"/>
              <w:rPr>
                <w:sz w:val="20"/>
                <w:szCs w:val="20"/>
                <w:color w:val="auto"/>
              </w:rPr>
            </w:pPr>
            <w:r>
              <w:rPr>
                <w:rFonts w:ascii="Arial" w:cs="Arial" w:eastAsia="Arial" w:hAnsi="Arial"/>
                <w:sz w:val="14"/>
                <w:szCs w:val="14"/>
                <w:color w:val="auto"/>
              </w:rPr>
              <w:t>units</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4"/>
                <w:szCs w:val="14"/>
                <w:color w:val="auto"/>
              </w:rPr>
              <w:t>Repurchase of stock options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60"/>
        </w:trPr>
        <w:tc>
          <w:tcPr>
            <w:tcW w:w="2320" w:type="dxa"/>
            <w:vAlign w:val="bottom"/>
          </w:tcPr>
          <w:p>
            <w:pPr>
              <w:spacing w:after="0"/>
              <w:rPr>
                <w:sz w:val="20"/>
                <w:szCs w:val="20"/>
                <w:color w:val="auto"/>
              </w:rPr>
            </w:pPr>
            <w:r>
              <w:rPr>
                <w:rFonts w:ascii="Arial" w:cs="Arial" w:eastAsia="Arial" w:hAnsi="Arial"/>
                <w:sz w:val="14"/>
                <w:szCs w:val="14"/>
                <w:color w:val="auto"/>
              </w:rPr>
              <w:t>Repurchase of Class A common</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82"/>
        </w:trPr>
        <w:tc>
          <w:tcPr>
            <w:tcW w:w="2320" w:type="dxa"/>
            <w:vAlign w:val="bottom"/>
          </w:tcPr>
          <w:p>
            <w:pPr>
              <w:ind w:left="160"/>
              <w:spacing w:after="0"/>
              <w:rPr>
                <w:sz w:val="20"/>
                <w:szCs w:val="20"/>
                <w:color w:val="auto"/>
              </w:rPr>
            </w:pPr>
            <w:r>
              <w:rPr>
                <w:rFonts w:ascii="Arial" w:cs="Arial" w:eastAsia="Arial" w:hAnsi="Arial"/>
                <w:sz w:val="14"/>
                <w:szCs w:val="14"/>
                <w:color w:val="auto"/>
              </w:rPr>
              <w:t>stock</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42"/>
        </w:trPr>
        <w:tc>
          <w:tcPr>
            <w:tcW w:w="2320" w:type="dxa"/>
            <w:vAlign w:val="bottom"/>
          </w:tcPr>
          <w:p>
            <w:pPr>
              <w:spacing w:after="0" w:line="142" w:lineRule="exact"/>
              <w:rPr>
                <w:sz w:val="20"/>
                <w:szCs w:val="20"/>
                <w:color w:val="auto"/>
              </w:rPr>
            </w:pPr>
            <w:r>
              <w:rPr>
                <w:rFonts w:ascii="Arial" w:cs="Arial" w:eastAsia="Arial" w:hAnsi="Arial"/>
                <w:sz w:val="14"/>
                <w:szCs w:val="14"/>
                <w:color w:val="auto"/>
              </w:rPr>
              <w:t>Constructive retirement of Treasury</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82"/>
        </w:trPr>
        <w:tc>
          <w:tcPr>
            <w:tcW w:w="2320" w:type="dxa"/>
            <w:vAlign w:val="bottom"/>
          </w:tcPr>
          <w:p>
            <w:pPr>
              <w:ind w:left="160"/>
              <w:spacing w:after="0"/>
              <w:rPr>
                <w:sz w:val="20"/>
                <w:szCs w:val="20"/>
                <w:color w:val="auto"/>
              </w:rPr>
            </w:pPr>
            <w:r>
              <w:rPr>
                <w:rFonts w:ascii="Arial" w:cs="Arial" w:eastAsia="Arial" w:hAnsi="Arial"/>
                <w:sz w:val="14"/>
                <w:szCs w:val="14"/>
                <w:color w:val="auto"/>
              </w:rPr>
              <w:t>stock</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11"/>
        </w:trPr>
        <w:tc>
          <w:tcPr>
            <w:tcW w:w="23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47"/>
        </w:trPr>
        <w:tc>
          <w:tcPr>
            <w:tcW w:w="2320" w:type="dxa"/>
            <w:vAlign w:val="bottom"/>
          </w:tcPr>
          <w:p>
            <w:pPr>
              <w:spacing w:after="0" w:line="147" w:lineRule="exact"/>
              <w:rPr>
                <w:sz w:val="20"/>
                <w:szCs w:val="20"/>
                <w:color w:val="auto"/>
              </w:rPr>
            </w:pPr>
            <w:r>
              <w:rPr>
                <w:rFonts w:ascii="Arial" w:cs="Arial" w:eastAsia="Arial" w:hAnsi="Arial"/>
                <w:sz w:val="14"/>
                <w:szCs w:val="14"/>
                <w:color w:val="auto"/>
              </w:rPr>
              <w:t>Other comprehensive income, net</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82"/>
        </w:trPr>
        <w:tc>
          <w:tcPr>
            <w:tcW w:w="2320" w:type="dxa"/>
            <w:vAlign w:val="bottom"/>
          </w:tcPr>
          <w:p>
            <w:pPr>
              <w:ind w:left="160"/>
              <w:spacing w:after="0"/>
              <w:rPr>
                <w:sz w:val="20"/>
                <w:szCs w:val="20"/>
                <w:color w:val="auto"/>
              </w:rPr>
            </w:pPr>
            <w:r>
              <w:rPr>
                <w:rFonts w:ascii="Arial" w:cs="Arial" w:eastAsia="Arial" w:hAnsi="Arial"/>
                <w:sz w:val="14"/>
                <w:szCs w:val="14"/>
                <w:color w:val="auto"/>
              </w:rPr>
              <w:t>of tax</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11"/>
        </w:trPr>
        <w:tc>
          <w:tcPr>
            <w:tcW w:w="2320" w:type="dxa"/>
            <w:vAlign w:val="bottom"/>
          </w:tcPr>
          <w:p>
            <w:pPr>
              <w:spacing w:after="0"/>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57"/>
        </w:trPr>
        <w:tc>
          <w:tcPr>
            <w:tcW w:w="2320" w:type="dxa"/>
            <w:vAlign w:val="bottom"/>
          </w:tcPr>
          <w:p>
            <w:pPr>
              <w:spacing w:after="0"/>
              <w:rPr>
                <w:sz w:val="20"/>
                <w:szCs w:val="20"/>
                <w:color w:val="auto"/>
              </w:rPr>
            </w:pPr>
            <w:r>
              <w:rPr>
                <w:rFonts w:ascii="Arial" w:cs="Arial" w:eastAsia="Arial" w:hAnsi="Arial"/>
                <w:sz w:val="14"/>
                <w:szCs w:val="14"/>
                <w:b w:val="1"/>
                <w:bCs w:val="1"/>
                <w:color w:val="auto"/>
              </w:rPr>
              <w:t>BALANCE - December 31, 2020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7,687</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15875</wp:posOffset>
            </wp:positionV>
            <wp:extent cx="10115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60" w:type="dxa"/>
            <w:vAlign w:val="bottom"/>
          </w:tcPr>
          <w:p>
            <w:pPr>
              <w:jc w:val="right"/>
              <w:spacing w:after="0"/>
              <w:rPr>
                <w:sz w:val="20"/>
                <w:szCs w:val="20"/>
                <w:color w:val="auto"/>
              </w:rPr>
            </w:pPr>
            <w:r>
              <w:rPr>
                <w:rFonts w:ascii="Arial" w:cs="Arial" w:eastAsia="Arial" w:hAnsi="Arial"/>
                <w:sz w:val="14"/>
                <w:szCs w:val="14"/>
                <w:color w:val="auto"/>
              </w:rPr>
              <w:t>3,879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54.3</w:t>
            </w:r>
          </w:p>
        </w:tc>
      </w:tr>
      <w:tr>
        <w:trPr>
          <w:trHeight w:val="324"/>
        </w:trPr>
        <w:tc>
          <w:tcPr>
            <w:tcW w:w="860" w:type="dxa"/>
            <w:vAlign w:val="bottom"/>
          </w:tcPr>
          <w:p>
            <w:pPr>
              <w:jc w:val="right"/>
              <w:spacing w:after="0"/>
              <w:rPr>
                <w:sz w:val="20"/>
                <w:szCs w:val="20"/>
                <w:color w:val="auto"/>
              </w:rPr>
            </w:pPr>
            <w:r>
              <w:rPr>
                <w:rFonts w:ascii="Arial" w:cs="Arial" w:eastAsia="Arial" w:hAnsi="Arial"/>
                <w:sz w:val="14"/>
                <w:szCs w:val="14"/>
                <w:color w:val="auto"/>
              </w:rPr>
              <w:t>2,701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459"/>
        </w:trPr>
        <w:tc>
          <w:tcPr>
            <w:tcW w:w="86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94"/>
        </w:trPr>
        <w:tc>
          <w:tcPr>
            <w:tcW w:w="86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324"/>
        </w:trPr>
        <w:tc>
          <w:tcPr>
            <w:tcW w:w="860" w:type="dxa"/>
            <w:vAlign w:val="bottom"/>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324"/>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324"/>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5"/>
        </w:trPr>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4"/>
        </w:trPr>
        <w:tc>
          <w:tcPr>
            <w:tcW w:w="860" w:type="dxa"/>
            <w:vAlign w:val="bottom"/>
          </w:tcPr>
          <w:p>
            <w:pPr>
              <w:jc w:val="right"/>
              <w:spacing w:after="0"/>
              <w:rPr>
                <w:sz w:val="20"/>
                <w:szCs w:val="20"/>
                <w:color w:val="auto"/>
              </w:rPr>
            </w:pPr>
            <w:r>
              <w:rPr>
                <w:rFonts w:ascii="Arial" w:cs="Arial" w:eastAsia="Arial" w:hAnsi="Arial"/>
                <w:sz w:val="14"/>
                <w:szCs w:val="14"/>
                <w:color w:val="auto"/>
              </w:rPr>
              <w:t>48,853</w:t>
            </w:r>
          </w:p>
        </w:tc>
        <w:tc>
          <w:tcPr>
            <w:tcW w:w="8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240" w:type="dxa"/>
            <w:vAlign w:val="bottom"/>
            <w:gridSpan w:val="3"/>
          </w:tcPr>
          <w:p>
            <w:pPr>
              <w:ind w:left="640"/>
              <w:spacing w:after="0"/>
              <w:rPr>
                <w:sz w:val="20"/>
                <w:szCs w:val="20"/>
                <w:color w:val="auto"/>
              </w:rPr>
            </w:pPr>
            <w:r>
              <w:rPr>
                <w:rFonts w:ascii="Arial" w:cs="Arial" w:eastAsia="Arial" w:hAnsi="Arial"/>
                <w:sz w:val="14"/>
                <w:szCs w:val="14"/>
                <w:color w:val="auto"/>
              </w:rPr>
              <w:t>—  $</w:t>
            </w:r>
          </w:p>
        </w:tc>
        <w:tc>
          <w:tcPr>
            <w:tcW w:w="820" w:type="dxa"/>
            <w:vAlign w:val="bottom"/>
            <w:gridSpan w:val="3"/>
          </w:tcPr>
          <w:p>
            <w:pPr>
              <w:ind w:left="260"/>
              <w:spacing w:after="0"/>
              <w:rPr>
                <w:sz w:val="20"/>
                <w:szCs w:val="20"/>
                <w:color w:val="auto"/>
              </w:rPr>
            </w:pPr>
            <w:r>
              <w:rPr>
                <w:rFonts w:ascii="Arial" w:cs="Arial" w:eastAsia="Arial" w:hAnsi="Arial"/>
                <w:sz w:val="14"/>
                <w:szCs w:val="14"/>
                <w:color w:val="auto"/>
              </w:rPr>
              <w:t>—  $</w:t>
            </w:r>
          </w:p>
        </w:tc>
        <w:tc>
          <w:tcPr>
            <w:tcW w:w="520" w:type="dxa"/>
            <w:vAlign w:val="bottom"/>
          </w:tcPr>
          <w:p>
            <w:pPr>
              <w:jc w:val="right"/>
              <w:spacing w:after="0"/>
              <w:rPr>
                <w:sz w:val="20"/>
                <w:szCs w:val="20"/>
                <w:color w:val="auto"/>
              </w:rPr>
            </w:pPr>
            <w:r>
              <w:rPr>
                <w:rFonts w:ascii="Arial" w:cs="Arial" w:eastAsia="Arial" w:hAnsi="Arial"/>
                <w:sz w:val="14"/>
                <w:szCs w:val="14"/>
                <w:color w:val="auto"/>
              </w:rPr>
              <w:t>99.8</w:t>
            </w:r>
          </w:p>
        </w:tc>
        <w:tc>
          <w:tcPr>
            <w:tcW w:w="8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82.7</w:t>
            </w:r>
          </w:p>
        </w:tc>
      </w:tr>
      <w:tr>
        <w:trPr>
          <w:trHeight w:val="25"/>
        </w:trPr>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640" w:space="220"/>
            <w:col w:w="7360"/>
          </w:cols>
          <w:pgMar w:left="340" w:top="121"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F-5</w:t>
      </w:r>
    </w:p>
    <w:p>
      <w:pPr>
        <w:sectPr>
          <w:pgSz w:w="11900" w:h="16838" w:orient="portrait"/>
          <w:cols w:equalWidth="0" w:num="1">
            <w:col w:w="11220"/>
          </w:cols>
          <w:pgMar w:left="340" w:top="121" w:right="339" w:bottom="1440" w:gutter="0" w:footer="0" w:header="0"/>
          <w:type w:val="continuous"/>
        </w:sectPr>
      </w:pPr>
    </w:p>
    <w:bookmarkStart w:id="165" w:name="page166"/>
    <w:bookmarkEnd w:id="165"/>
    <w:p>
      <w:pPr>
        <w:ind w:left="3860"/>
        <w:spacing w:after="0"/>
        <w:rPr>
          <w:sz w:val="20"/>
          <w:szCs w:val="20"/>
          <w:color w:val="auto"/>
        </w:rPr>
      </w:pPr>
      <w:r>
        <w:rPr>
          <w:rFonts w:ascii="Arial" w:cs="Arial" w:eastAsia="Arial" w:hAnsi="Arial"/>
          <w:sz w:val="18"/>
          <w:szCs w:val="18"/>
          <w:b w:val="1"/>
          <w:bCs w:val="1"/>
          <w:color w:val="auto"/>
        </w:rPr>
        <w:t>NERDWALLET,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 which are in thousands)</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 December 31, 2019</w:t>
      </w:r>
    </w:p>
    <w:p>
      <w:pPr>
        <w:spacing w:after="0" w:line="44" w:lineRule="exact"/>
        <w:rPr>
          <w:sz w:val="20"/>
          <w:szCs w:val="20"/>
          <w:color w:val="auto"/>
        </w:rPr>
      </w:pPr>
    </w:p>
    <w:p>
      <w:pPr>
        <w:ind w:left="160" w:right="40" w:hanging="161"/>
        <w:spacing w:after="0" w:line="224" w:lineRule="auto"/>
        <w:rPr>
          <w:sz w:val="20"/>
          <w:szCs w:val="20"/>
          <w:color w:val="auto"/>
        </w:rPr>
      </w:pPr>
      <w:r>
        <w:rPr>
          <w:rFonts w:ascii="Arial" w:cs="Arial" w:eastAsia="Arial" w:hAnsi="Arial"/>
          <w:sz w:val="14"/>
          <w:szCs w:val="14"/>
          <w:color w:val="auto"/>
        </w:rPr>
        <w:t>Issuance of Class A common stock upon exercise of stock options (unaudited)</w:t>
      </w:r>
    </w:p>
    <w:p>
      <w:pPr>
        <w:spacing w:after="0" w:line="8" w:lineRule="exact"/>
        <w:rPr>
          <w:sz w:val="20"/>
          <w:szCs w:val="20"/>
          <w:color w:val="auto"/>
        </w:rPr>
      </w:pPr>
    </w:p>
    <w:p>
      <w:pPr>
        <w:ind w:left="160" w:hanging="161"/>
        <w:spacing w:after="0" w:line="243" w:lineRule="auto"/>
        <w:rPr>
          <w:sz w:val="20"/>
          <w:szCs w:val="20"/>
          <w:color w:val="auto"/>
        </w:rPr>
      </w:pPr>
      <w:r>
        <w:rPr>
          <w:rFonts w:ascii="Arial" w:cs="Arial" w:eastAsia="Arial" w:hAnsi="Arial"/>
          <w:sz w:val="13"/>
          <w:szCs w:val="13"/>
          <w:color w:val="auto"/>
        </w:rPr>
        <w:t>Issuance of Class A common stock pursuant to settlement of restricted stock units (unaudited)</w:t>
      </w:r>
    </w:p>
    <w:p>
      <w:pPr>
        <w:spacing w:after="0" w:line="5" w:lineRule="exact"/>
        <w:rPr>
          <w:sz w:val="20"/>
          <w:szCs w:val="20"/>
          <w:color w:val="auto"/>
        </w:rPr>
      </w:pPr>
    </w:p>
    <w:p>
      <w:pPr>
        <w:ind w:left="160" w:hanging="161"/>
        <w:spacing w:after="0" w:line="235" w:lineRule="auto"/>
        <w:rPr>
          <w:sz w:val="20"/>
          <w:szCs w:val="20"/>
          <w:color w:val="auto"/>
        </w:rPr>
      </w:pPr>
      <w:r>
        <w:rPr>
          <w:rFonts w:ascii="Arial" w:cs="Arial" w:eastAsia="Arial" w:hAnsi="Arial"/>
          <w:sz w:val="13"/>
          <w:szCs w:val="13"/>
          <w:color w:val="auto"/>
        </w:rPr>
        <w:t>Class A common stock surrendered for employees' tax liability upon settlement of restricted stock units (unaudited)</w:t>
      </w:r>
    </w:p>
    <w:p>
      <w:pPr>
        <w:spacing w:after="0" w:line="8" w:lineRule="exact"/>
        <w:rPr>
          <w:sz w:val="20"/>
          <w:szCs w:val="20"/>
          <w:color w:val="auto"/>
        </w:rPr>
      </w:pPr>
    </w:p>
    <w:p>
      <w:pPr>
        <w:ind w:left="160" w:right="420" w:hanging="161"/>
        <w:spacing w:after="0" w:line="236" w:lineRule="auto"/>
        <w:rPr>
          <w:sz w:val="20"/>
          <w:szCs w:val="20"/>
          <w:color w:val="auto"/>
        </w:rPr>
      </w:pPr>
      <w:r>
        <w:rPr>
          <w:rFonts w:ascii="Arial" w:cs="Arial" w:eastAsia="Arial" w:hAnsi="Arial"/>
          <w:sz w:val="14"/>
          <w:szCs w:val="14"/>
          <w:color w:val="auto"/>
        </w:rPr>
        <w:t>Repurchase of stock options (unaudited)</w:t>
      </w:r>
    </w:p>
    <w:p>
      <w:pPr>
        <w:spacing w:after="0" w:line="7" w:lineRule="exact"/>
        <w:rPr>
          <w:sz w:val="20"/>
          <w:szCs w:val="20"/>
          <w:color w:val="auto"/>
        </w:rPr>
      </w:pPr>
    </w:p>
    <w:p>
      <w:pPr>
        <w:ind w:left="160" w:right="200" w:hanging="161"/>
        <w:spacing w:after="0" w:line="236" w:lineRule="auto"/>
        <w:rPr>
          <w:sz w:val="20"/>
          <w:szCs w:val="20"/>
          <w:color w:val="auto"/>
        </w:rPr>
      </w:pPr>
      <w:r>
        <w:rPr>
          <w:rFonts w:ascii="Arial" w:cs="Arial" w:eastAsia="Arial" w:hAnsi="Arial"/>
          <w:sz w:val="14"/>
          <w:szCs w:val="14"/>
          <w:color w:val="auto"/>
        </w:rPr>
        <w:t>Repurchase of Class A common stock (unaudited)</w:t>
      </w:r>
    </w:p>
    <w:p>
      <w:pPr>
        <w:spacing w:after="0" w:line="7" w:lineRule="exact"/>
        <w:rPr>
          <w:sz w:val="20"/>
          <w:szCs w:val="20"/>
          <w:color w:val="auto"/>
        </w:rPr>
      </w:pPr>
    </w:p>
    <w:p>
      <w:pPr>
        <w:ind w:right="520"/>
        <w:spacing w:after="0" w:line="269" w:lineRule="auto"/>
        <w:rPr>
          <w:sz w:val="20"/>
          <w:szCs w:val="20"/>
          <w:color w:val="auto"/>
        </w:rPr>
      </w:pPr>
      <w:r>
        <w:rPr>
          <w:rFonts w:ascii="Arial" w:cs="Arial" w:eastAsia="Arial" w:hAnsi="Arial"/>
          <w:sz w:val="13"/>
          <w:szCs w:val="13"/>
          <w:color w:val="auto"/>
        </w:rPr>
        <w:t>Stock-based compensation (unaudited)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Net income (unaudited)</w:t>
      </w:r>
    </w:p>
    <w:p>
      <w:pPr>
        <w:spacing w:after="0" w:line="24" w:lineRule="exact"/>
        <w:rPr>
          <w:sz w:val="20"/>
          <w:szCs w:val="20"/>
          <w:color w:val="auto"/>
        </w:rPr>
      </w:pPr>
    </w:p>
    <w:p>
      <w:pPr>
        <w:ind w:left="160" w:right="40" w:hanging="161"/>
        <w:spacing w:after="0" w:line="239" w:lineRule="auto"/>
        <w:rPr>
          <w:sz w:val="20"/>
          <w:szCs w:val="20"/>
          <w:color w:val="auto"/>
        </w:rPr>
      </w:pPr>
      <w:r>
        <w:rPr>
          <w:rFonts w:ascii="Arial" w:cs="Arial" w:eastAsia="Arial" w:hAnsi="Arial"/>
          <w:sz w:val="14"/>
          <w:szCs w:val="14"/>
          <w:b w:val="1"/>
          <w:bCs w:val="1"/>
          <w:color w:val="auto"/>
        </w:rPr>
        <w:t>BALANCE - September 30, 2020 (unaudited)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4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84"/>
              </w:rPr>
              <w:t>Series A Redeemable</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4"/>
        </w:trPr>
        <w:tc>
          <w:tcPr>
            <w:tcW w:w="174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88"/>
              </w:rPr>
              <w:t>Convertible Preferred Stock</w:t>
            </w:r>
          </w:p>
        </w:tc>
        <w:tc>
          <w:tcPr>
            <w:tcW w:w="1580" w:type="dxa"/>
            <w:vAlign w:val="bottom"/>
            <w:gridSpan w:val="4"/>
          </w:tcPr>
          <w:p>
            <w:pPr>
              <w:ind w:left="380"/>
              <w:spacing w:after="0"/>
              <w:rPr>
                <w:sz w:val="20"/>
                <w:szCs w:val="20"/>
                <w:color w:val="auto"/>
              </w:rPr>
            </w:pPr>
            <w:r>
              <w:rPr>
                <w:rFonts w:ascii="Arial" w:cs="Arial" w:eastAsia="Arial" w:hAnsi="Arial"/>
                <w:sz w:val="13"/>
                <w:szCs w:val="13"/>
                <w:b w:val="1"/>
                <w:bCs w:val="1"/>
                <w:color w:val="auto"/>
              </w:rPr>
              <w:t>Common Stock</w:t>
            </w:r>
          </w:p>
        </w:tc>
      </w:tr>
      <w:tr>
        <w:trPr>
          <w:trHeight w:val="29"/>
        </w:trPr>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67"/>
        </w:trPr>
        <w:tc>
          <w:tcPr>
            <w:tcW w:w="94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94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rPr>
              <w:t>Amount</w:t>
            </w:r>
          </w:p>
        </w:tc>
      </w:tr>
      <w:tr>
        <w:trPr>
          <w:trHeight w:val="29"/>
        </w:trPr>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4"/>
        </w:trPr>
        <w:tc>
          <w:tcPr>
            <w:tcW w:w="860" w:type="dxa"/>
            <w:vAlign w:val="bottom"/>
          </w:tcPr>
          <w:p>
            <w:pPr>
              <w:jc w:val="right"/>
              <w:spacing w:after="0"/>
              <w:rPr>
                <w:sz w:val="20"/>
                <w:szCs w:val="20"/>
                <w:color w:val="auto"/>
              </w:rPr>
            </w:pPr>
            <w:r>
              <w:rPr>
                <w:rFonts w:ascii="Arial" w:cs="Arial" w:eastAsia="Arial" w:hAnsi="Arial"/>
                <w:sz w:val="14"/>
                <w:szCs w:val="14"/>
                <w:color w:val="auto"/>
              </w:rPr>
              <w:t>7,687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42,308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r>
      <w:tr>
        <w:trPr>
          <w:trHeight w:val="459"/>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r>
      <w:tr>
        <w:trPr>
          <w:trHeight w:val="459"/>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r>
      <w:tr>
        <w:trPr>
          <w:trHeight w:val="594"/>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r>
      <w:tr>
        <w:trPr>
          <w:trHeight w:val="648"/>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r>
      <w:tr>
        <w:trPr>
          <w:trHeight w:val="566"/>
        </w:trPr>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51"/>
        </w:trPr>
        <w:tc>
          <w:tcPr>
            <w:tcW w:w="860" w:type="dxa"/>
            <w:vAlign w:val="bottom"/>
          </w:tcPr>
          <w:p>
            <w:pPr>
              <w:jc w:val="right"/>
              <w:spacing w:after="0"/>
              <w:rPr>
                <w:sz w:val="20"/>
                <w:szCs w:val="20"/>
                <w:color w:val="auto"/>
              </w:rPr>
            </w:pPr>
            <w:r>
              <w:rPr>
                <w:rFonts w:ascii="Arial" w:cs="Arial" w:eastAsia="Arial" w:hAnsi="Arial"/>
                <w:sz w:val="14"/>
                <w:szCs w:val="14"/>
                <w:color w:val="auto"/>
              </w:rPr>
              <w:t>7,687</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44,462</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r>
      <w:tr>
        <w:trPr>
          <w:trHeight w:val="26"/>
        </w:trPr>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gridSpan w:val="5"/>
            <w:vMerge w:val="restart"/>
          </w:tcPr>
          <w:p>
            <w:pPr>
              <w:ind w:left="44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7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160"/>
              <w:spacing w:after="0" w:line="106" w:lineRule="exact"/>
              <w:rPr>
                <w:sz w:val="20"/>
                <w:szCs w:val="20"/>
                <w:color w:val="auto"/>
              </w:rPr>
            </w:pPr>
            <w:r>
              <w:rPr>
                <w:rFonts w:ascii="Arial" w:cs="Arial" w:eastAsia="Arial" w:hAnsi="Arial"/>
                <w:sz w:val="12"/>
                <w:szCs w:val="12"/>
                <w:b w:val="1"/>
                <w:bCs w:val="1"/>
                <w:color w:val="auto"/>
                <w:w w:val="99"/>
              </w:rPr>
              <w:t>Paid-in</w:t>
            </w:r>
          </w:p>
        </w:tc>
        <w:tc>
          <w:tcPr>
            <w:tcW w:w="100" w:type="dxa"/>
            <w:vAlign w:val="bottom"/>
          </w:tcPr>
          <w:p>
            <w:pPr>
              <w:spacing w:after="0"/>
              <w:rPr>
                <w:sz w:val="8"/>
                <w:szCs w:val="8"/>
                <w:color w:val="auto"/>
              </w:rPr>
            </w:pPr>
          </w:p>
        </w:tc>
        <w:tc>
          <w:tcPr>
            <w:tcW w:w="1020" w:type="dxa"/>
            <w:vAlign w:val="bottom"/>
            <w:gridSpan w:val="2"/>
            <w:vMerge w:val="restart"/>
          </w:tcPr>
          <w:p>
            <w:pPr>
              <w:jc w:val="center"/>
              <w:ind w:right="180"/>
              <w:spacing w:after="0" w:line="106" w:lineRule="exact"/>
              <w:rPr>
                <w:sz w:val="20"/>
                <w:szCs w:val="20"/>
                <w:color w:val="auto"/>
              </w:rPr>
            </w:pPr>
            <w:r>
              <w:rPr>
                <w:rFonts w:ascii="Arial" w:cs="Arial" w:eastAsia="Arial" w:hAnsi="Arial"/>
                <w:sz w:val="12"/>
                <w:szCs w:val="12"/>
                <w:b w:val="1"/>
                <w:bCs w:val="1"/>
                <w:color w:val="auto"/>
                <w:w w:val="93"/>
              </w:rPr>
              <w:t>Comprehensive</w:t>
            </w:r>
          </w:p>
        </w:tc>
        <w:tc>
          <w:tcPr>
            <w:tcW w:w="100" w:type="dxa"/>
            <w:vAlign w:val="bottom"/>
          </w:tcPr>
          <w:p>
            <w:pPr>
              <w:spacing w:after="0"/>
              <w:rPr>
                <w:sz w:val="8"/>
                <w:szCs w:val="8"/>
                <w:color w:val="auto"/>
              </w:rPr>
            </w:pPr>
          </w:p>
        </w:tc>
        <w:tc>
          <w:tcPr>
            <w:tcW w:w="900" w:type="dxa"/>
            <w:vAlign w:val="bottom"/>
            <w:gridSpan w:val="2"/>
            <w:vMerge w:val="restart"/>
          </w:tcPr>
          <w:p>
            <w:pPr>
              <w:jc w:val="center"/>
              <w:ind w:right="180"/>
              <w:spacing w:after="0" w:line="106"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8"/>
                <w:szCs w:val="8"/>
                <w:color w:val="auto"/>
              </w:rPr>
            </w:pPr>
          </w:p>
        </w:tc>
        <w:tc>
          <w:tcPr>
            <w:tcW w:w="840" w:type="dxa"/>
            <w:vAlign w:val="bottom"/>
            <w:vMerge w:val="restart"/>
          </w:tcPr>
          <w:p>
            <w:pPr>
              <w:jc w:val="right"/>
              <w:ind w:right="29"/>
              <w:spacing w:after="0" w:line="106"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29"/>
        </w:trPr>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92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Deficit</w:t>
            </w: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Equity (Deficit)</w:t>
            </w:r>
          </w:p>
        </w:tc>
        <w:tc>
          <w:tcPr>
            <w:tcW w:w="0" w:type="dxa"/>
            <w:vAlign w:val="bottom"/>
          </w:tcPr>
          <w:p>
            <w:pPr>
              <w:spacing w:after="0"/>
              <w:rPr>
                <w:sz w:val="1"/>
                <w:szCs w:val="1"/>
                <w:color w:val="auto"/>
              </w:rPr>
            </w:pPr>
          </w:p>
        </w:tc>
      </w:tr>
      <w:tr>
        <w:trPr>
          <w:trHeight w:val="29"/>
        </w:trPr>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0" w:type="dxa"/>
            <w:vAlign w:val="bottom"/>
          </w:tcPr>
          <w:p>
            <w:pPr>
              <w:jc w:val="right"/>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459"/>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459"/>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94"/>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6"/>
        </w:trPr>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840" w:type="dxa"/>
            <w:vAlign w:val="bottom"/>
          </w:tcPr>
          <w:p>
            <w:pPr>
              <w:jc w:val="right"/>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6"/>
        </w:trPr>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-2082800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-1645285</wp:posOffset>
            </wp:positionV>
            <wp:extent cx="7132320" cy="291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-976630</wp:posOffset>
            </wp:positionV>
            <wp:extent cx="7132320"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-565150</wp:posOffset>
            </wp:positionV>
            <wp:extent cx="713232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-222250</wp:posOffset>
            </wp:positionV>
            <wp:extent cx="7132320"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3">
            <w:col w:w="2060" w:space="80"/>
            <w:col w:w="3320" w:space="80"/>
            <w:col w:w="5680"/>
          </w:cols>
          <w:pgMar w:left="340" w:top="121"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F-6</w:t>
      </w:r>
    </w:p>
    <w:p>
      <w:pPr>
        <w:sectPr>
          <w:pgSz w:w="11900" w:h="16838" w:orient="portrait"/>
          <w:cols w:equalWidth="0" w:num="1">
            <w:col w:w="11220"/>
          </w:cols>
          <w:pgMar w:left="340" w:top="121" w:right="339" w:bottom="1440" w:gutter="0" w:footer="0" w:header="0"/>
          <w:type w:val="continuous"/>
        </w:sectPr>
      </w:pPr>
    </w:p>
    <w:bookmarkStart w:id="166" w:name="page167"/>
    <w:bookmarkEnd w:id="166"/>
    <w:p>
      <w:pPr>
        <w:ind w:left="3860"/>
        <w:spacing w:after="0"/>
        <w:rPr>
          <w:sz w:val="20"/>
          <w:szCs w:val="20"/>
          <w:color w:val="auto"/>
        </w:rPr>
      </w:pPr>
      <w:r>
        <w:rPr>
          <w:rFonts w:ascii="Arial" w:cs="Arial" w:eastAsia="Arial" w:hAnsi="Arial"/>
          <w:sz w:val="18"/>
          <w:szCs w:val="18"/>
          <w:b w:val="1"/>
          <w:bCs w:val="1"/>
          <w:color w:val="auto"/>
        </w:rPr>
        <w:t>NERDWALLET,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 which are in thousands)</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2160"/>
        <w:spacing w:after="0"/>
        <w:rPr>
          <w:sz w:val="20"/>
          <w:szCs w:val="20"/>
          <w:color w:val="auto"/>
        </w:rPr>
      </w:pPr>
      <w:r>
        <w:rPr>
          <w:rFonts w:ascii="Arial" w:cs="Arial" w:eastAsia="Arial" w:hAnsi="Arial"/>
          <w:sz w:val="13"/>
          <w:szCs w:val="13"/>
          <w:b w:val="1"/>
          <w:bCs w:val="1"/>
          <w:color w:val="auto"/>
        </w:rPr>
        <w:t>Series A Redeemable</w:t>
      </w:r>
    </w:p>
    <w:p>
      <w:pPr>
        <w:spacing w:after="0" w:line="13" w:lineRule="exact"/>
        <w:rPr>
          <w:sz w:val="20"/>
          <w:szCs w:val="20"/>
          <w:color w:val="auto"/>
        </w:rPr>
      </w:pPr>
    </w:p>
    <w:p>
      <w:pPr>
        <w:jc w:val="center"/>
        <w:ind w:left="2160"/>
        <w:spacing w:after="0"/>
        <w:rPr>
          <w:sz w:val="20"/>
          <w:szCs w:val="20"/>
          <w:color w:val="auto"/>
        </w:rPr>
      </w:pPr>
      <w:r>
        <w:rPr>
          <w:rFonts w:ascii="Arial" w:cs="Arial" w:eastAsia="Arial" w:hAnsi="Arial"/>
          <w:sz w:val="10"/>
          <w:szCs w:val="10"/>
          <w:b w:val="1"/>
          <w:bCs w:val="1"/>
          <w:color w:val="auto"/>
        </w:rPr>
        <w:t>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41275</wp:posOffset>
            </wp:positionV>
            <wp:extent cx="10026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140" w:type="dxa"/>
            <w:vAlign w:val="bottom"/>
          </w:tcPr>
          <w:p>
            <w:pPr>
              <w:spacing w:after="0"/>
              <w:rPr>
                <w:sz w:val="14"/>
                <w:szCs w:val="14"/>
                <w:color w:val="auto"/>
              </w:rPr>
            </w:pPr>
          </w:p>
        </w:tc>
        <w:tc>
          <w:tcPr>
            <w:tcW w:w="94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540" w:type="dxa"/>
            <w:vAlign w:val="bottom"/>
          </w:tcPr>
          <w:p>
            <w:pPr>
              <w:jc w:val="right"/>
              <w:ind w:right="33"/>
              <w:spacing w:after="0"/>
              <w:rPr>
                <w:sz w:val="20"/>
                <w:szCs w:val="20"/>
                <w:color w:val="auto"/>
              </w:rPr>
            </w:pPr>
            <w:r>
              <w:rPr>
                <w:rFonts w:ascii="Arial" w:cs="Arial" w:eastAsia="Arial" w:hAnsi="Arial"/>
                <w:sz w:val="13"/>
                <w:szCs w:val="13"/>
                <w:b w:val="1"/>
                <w:bCs w:val="1"/>
                <w:color w:val="auto"/>
                <w:w w:val="85"/>
              </w:rPr>
              <w:t>Amount</w:t>
            </w:r>
          </w:p>
        </w:tc>
      </w:tr>
      <w:tr>
        <w:trPr>
          <w:trHeight w:val="29"/>
        </w:trPr>
        <w:tc>
          <w:tcPr>
            <w:tcW w:w="2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8"/>
        </w:trPr>
        <w:tc>
          <w:tcPr>
            <w:tcW w:w="2140" w:type="dxa"/>
            <w:vAlign w:val="bottom"/>
          </w:tcPr>
          <w:p>
            <w:pPr>
              <w:spacing w:after="0"/>
              <w:rPr>
                <w:sz w:val="20"/>
                <w:szCs w:val="20"/>
                <w:color w:val="auto"/>
              </w:rPr>
            </w:pPr>
            <w:r>
              <w:rPr>
                <w:rFonts w:ascii="Arial" w:cs="Arial" w:eastAsia="Arial" w:hAnsi="Arial"/>
                <w:sz w:val="14"/>
                <w:szCs w:val="14"/>
                <w:b w:val="1"/>
                <w:bCs w:val="1"/>
                <w:color w:val="auto"/>
              </w:rPr>
              <w:t>BALANCE - December 31, 2020</w:t>
            </w:r>
          </w:p>
        </w:tc>
        <w:tc>
          <w:tcPr>
            <w:tcW w:w="860" w:type="dxa"/>
            <w:vAlign w:val="bottom"/>
          </w:tcPr>
          <w:p>
            <w:pPr>
              <w:jc w:val="right"/>
              <w:spacing w:after="0"/>
              <w:rPr>
                <w:sz w:val="20"/>
                <w:szCs w:val="20"/>
                <w:color w:val="auto"/>
              </w:rPr>
            </w:pPr>
            <w:r>
              <w:rPr>
                <w:rFonts w:ascii="Arial" w:cs="Arial" w:eastAsia="Arial" w:hAnsi="Arial"/>
                <w:sz w:val="14"/>
                <w:szCs w:val="14"/>
                <w:color w:val="auto"/>
              </w:rPr>
              <w:t>7,687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68.8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gridSpan w:val="5"/>
            <w:vMerge w:val="restart"/>
          </w:tcPr>
          <w:p>
            <w:pPr>
              <w:ind w:left="380"/>
              <w:spacing w:after="0"/>
              <w:rPr>
                <w:sz w:val="20"/>
                <w:szCs w:val="20"/>
                <w:color w:val="auto"/>
              </w:rPr>
            </w:pPr>
            <w:r>
              <w:rPr>
                <w:rFonts w:ascii="Arial" w:cs="Arial" w:eastAsia="Arial" w:hAnsi="Arial"/>
                <w:sz w:val="13"/>
                <w:szCs w:val="13"/>
                <w:b w:val="1"/>
                <w:bCs w:val="1"/>
                <w:color w:val="auto"/>
              </w:rPr>
              <w:t>Common Stock</w:t>
            </w:r>
          </w:p>
        </w:tc>
        <w:tc>
          <w:tcPr>
            <w:tcW w:w="1860" w:type="dxa"/>
            <w:vAlign w:val="bottom"/>
            <w:gridSpan w:val="6"/>
            <w:vMerge w:val="restart"/>
          </w:tcPr>
          <w:p>
            <w:pPr>
              <w:ind w:left="440"/>
              <w:spacing w:after="0"/>
              <w:rPr>
                <w:sz w:val="20"/>
                <w:szCs w:val="20"/>
                <w:color w:val="auto"/>
              </w:rPr>
            </w:pPr>
            <w:r>
              <w:rPr>
                <w:rFonts w:ascii="Arial" w:cs="Arial" w:eastAsia="Arial" w:hAnsi="Arial"/>
                <w:sz w:val="13"/>
                <w:szCs w:val="13"/>
                <w:b w:val="1"/>
                <w:bCs w:val="1"/>
                <w:color w:val="auto"/>
              </w:rPr>
              <w:t>Treasury Stock</w:t>
            </w: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660" w:type="dxa"/>
            <w:vAlign w:val="bottom"/>
            <w:gridSpan w:val="5"/>
            <w:vMerge w:val="continue"/>
          </w:tcPr>
          <w:p>
            <w:pPr>
              <w:spacing w:after="0"/>
              <w:rPr>
                <w:sz w:val="8"/>
                <w:szCs w:val="8"/>
                <w:color w:val="auto"/>
              </w:rPr>
            </w:pPr>
          </w:p>
        </w:tc>
        <w:tc>
          <w:tcPr>
            <w:tcW w:w="1860" w:type="dxa"/>
            <w:vAlign w:val="bottom"/>
            <w:gridSpan w:val="6"/>
            <w:vMerge w:val="continue"/>
          </w:tcPr>
          <w:p>
            <w:pPr>
              <w:spacing w:after="0"/>
              <w:rPr>
                <w:sz w:val="8"/>
                <w:szCs w:val="8"/>
                <w:color w:val="auto"/>
              </w:rPr>
            </w:pPr>
          </w:p>
        </w:tc>
        <w:tc>
          <w:tcPr>
            <w:tcW w:w="760" w:type="dxa"/>
            <w:vAlign w:val="bottom"/>
            <w:gridSpan w:val="2"/>
            <w:vMerge w:val="restart"/>
          </w:tcPr>
          <w:p>
            <w:pPr>
              <w:jc w:val="center"/>
              <w:ind w:right="160"/>
              <w:spacing w:after="0" w:line="106" w:lineRule="exact"/>
              <w:rPr>
                <w:sz w:val="20"/>
                <w:szCs w:val="20"/>
                <w:color w:val="auto"/>
              </w:rPr>
            </w:pPr>
            <w:r>
              <w:rPr>
                <w:rFonts w:ascii="Arial" w:cs="Arial" w:eastAsia="Arial" w:hAnsi="Arial"/>
                <w:sz w:val="12"/>
                <w:szCs w:val="12"/>
                <w:b w:val="1"/>
                <w:bCs w:val="1"/>
                <w:color w:val="auto"/>
                <w:w w:val="99"/>
              </w:rPr>
              <w:t>Paid-in</w:t>
            </w:r>
          </w:p>
        </w:tc>
        <w:tc>
          <w:tcPr>
            <w:tcW w:w="100" w:type="dxa"/>
            <w:vAlign w:val="bottom"/>
          </w:tcPr>
          <w:p>
            <w:pPr>
              <w:spacing w:after="0"/>
              <w:rPr>
                <w:sz w:val="8"/>
                <w:szCs w:val="8"/>
                <w:color w:val="auto"/>
              </w:rPr>
            </w:pPr>
          </w:p>
        </w:tc>
        <w:tc>
          <w:tcPr>
            <w:tcW w:w="1020" w:type="dxa"/>
            <w:vAlign w:val="bottom"/>
            <w:gridSpan w:val="2"/>
            <w:vMerge w:val="restart"/>
          </w:tcPr>
          <w:p>
            <w:pPr>
              <w:jc w:val="center"/>
              <w:ind w:right="180"/>
              <w:spacing w:after="0" w:line="106" w:lineRule="exact"/>
              <w:rPr>
                <w:sz w:val="20"/>
                <w:szCs w:val="20"/>
                <w:color w:val="auto"/>
              </w:rPr>
            </w:pPr>
            <w:r>
              <w:rPr>
                <w:rFonts w:ascii="Arial" w:cs="Arial" w:eastAsia="Arial" w:hAnsi="Arial"/>
                <w:sz w:val="12"/>
                <w:szCs w:val="12"/>
                <w:b w:val="1"/>
                <w:bCs w:val="1"/>
                <w:color w:val="auto"/>
                <w:w w:val="93"/>
              </w:rPr>
              <w:t>Comprehensive</w:t>
            </w:r>
          </w:p>
        </w:tc>
        <w:tc>
          <w:tcPr>
            <w:tcW w:w="100" w:type="dxa"/>
            <w:vAlign w:val="bottom"/>
          </w:tcPr>
          <w:p>
            <w:pPr>
              <w:spacing w:after="0"/>
              <w:rPr>
                <w:sz w:val="8"/>
                <w:szCs w:val="8"/>
                <w:color w:val="auto"/>
              </w:rPr>
            </w:pPr>
          </w:p>
        </w:tc>
        <w:tc>
          <w:tcPr>
            <w:tcW w:w="900" w:type="dxa"/>
            <w:vAlign w:val="bottom"/>
            <w:gridSpan w:val="2"/>
            <w:vMerge w:val="restart"/>
          </w:tcPr>
          <w:p>
            <w:pPr>
              <w:jc w:val="center"/>
              <w:ind w:right="180"/>
              <w:spacing w:after="0" w:line="106"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8"/>
                <w:szCs w:val="8"/>
                <w:color w:val="auto"/>
              </w:rPr>
            </w:pPr>
          </w:p>
        </w:tc>
        <w:tc>
          <w:tcPr>
            <w:tcW w:w="840" w:type="dxa"/>
            <w:vAlign w:val="bottom"/>
            <w:vMerge w:val="restart"/>
          </w:tcPr>
          <w:p>
            <w:pPr>
              <w:jc w:val="center"/>
              <w:ind w:right="35"/>
              <w:spacing w:after="0" w:line="106"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29"/>
        </w:trPr>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94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tcPr>
          <w:p>
            <w:pPr>
              <w:ind w:left="240"/>
              <w:spacing w:after="0"/>
              <w:rPr>
                <w:sz w:val="20"/>
                <w:szCs w:val="20"/>
                <w:color w:val="auto"/>
              </w:rPr>
            </w:pPr>
            <w:r>
              <w:rPr>
                <w:rFonts w:ascii="Arial" w:cs="Arial" w:eastAsia="Arial" w:hAnsi="Arial"/>
                <w:sz w:val="13"/>
                <w:szCs w:val="13"/>
                <w:b w:val="1"/>
                <w:bCs w:val="1"/>
                <w:color w:val="auto"/>
              </w:rPr>
              <w:t>Shares</w:t>
            </w: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Deficit</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29"/>
        </w:trPr>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0" w:type="dxa"/>
            <w:vAlign w:val="bottom"/>
          </w:tcPr>
          <w:p>
            <w:pPr>
              <w:jc w:val="right"/>
              <w:spacing w:after="0"/>
              <w:rPr>
                <w:sz w:val="20"/>
                <w:szCs w:val="20"/>
                <w:color w:val="auto"/>
              </w:rPr>
            </w:pPr>
            <w:r>
              <w:rPr>
                <w:rFonts w:ascii="Arial" w:cs="Arial" w:eastAsia="Arial" w:hAnsi="Arial"/>
                <w:sz w:val="14"/>
                <w:szCs w:val="14"/>
                <w:color w:val="auto"/>
              </w:rPr>
              <w:t>48,853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40" w:type="dxa"/>
            <w:vAlign w:val="bottom"/>
            <w:gridSpan w:val="3"/>
          </w:tcPr>
          <w:p>
            <w:pPr>
              <w:ind w:left="620"/>
              <w:spacing w:after="0"/>
              <w:rPr>
                <w:sz w:val="20"/>
                <w:szCs w:val="20"/>
                <w:color w:val="auto"/>
              </w:rPr>
            </w:pPr>
            <w:r>
              <w:rPr>
                <w:rFonts w:ascii="Arial" w:cs="Arial" w:eastAsia="Arial" w:hAnsi="Arial"/>
                <w:sz w:val="14"/>
                <w:szCs w:val="14"/>
                <w:color w:val="auto"/>
              </w:rPr>
              <w:t>—  $</w:t>
            </w:r>
          </w:p>
        </w:tc>
        <w:tc>
          <w:tcPr>
            <w:tcW w:w="820" w:type="dxa"/>
            <w:vAlign w:val="bottom"/>
            <w:gridSpan w:val="3"/>
          </w:tcPr>
          <w:p>
            <w:pPr>
              <w:ind w:left="440"/>
              <w:spacing w:after="0"/>
              <w:rPr>
                <w:sz w:val="20"/>
                <w:szCs w:val="20"/>
                <w:color w:val="auto"/>
              </w:rPr>
            </w:pPr>
            <w:r>
              <w:rPr>
                <w:rFonts w:ascii="Arial" w:cs="Arial" w:eastAsia="Arial" w:hAnsi="Arial"/>
                <w:sz w:val="14"/>
                <w:szCs w:val="14"/>
                <w:color w:val="auto"/>
              </w:rPr>
              <w:t>—  $</w:t>
            </w:r>
          </w:p>
        </w:tc>
        <w:tc>
          <w:tcPr>
            <w:tcW w:w="680" w:type="dxa"/>
            <w:vAlign w:val="bottom"/>
          </w:tcPr>
          <w:p>
            <w:pPr>
              <w:jc w:val="right"/>
              <w:spacing w:after="0"/>
              <w:rPr>
                <w:sz w:val="20"/>
                <w:szCs w:val="20"/>
                <w:color w:val="auto"/>
              </w:rPr>
            </w:pPr>
            <w:r>
              <w:rPr>
                <w:rFonts w:ascii="Arial" w:cs="Arial" w:eastAsia="Arial" w:hAnsi="Arial"/>
                <w:sz w:val="14"/>
                <w:szCs w:val="14"/>
                <w:color w:val="auto"/>
              </w:rPr>
              <w:t>99.8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-128905</wp:posOffset>
            </wp:positionV>
            <wp:extent cx="7132320" cy="31464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14642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720" w:space="160"/>
            <w:col w:w="7340"/>
          </w:cols>
          <w:pgMar w:left="340" w:top="121" w:right="339" w:bottom="1440" w:gutter="0" w:footer="0" w:header="0"/>
          <w:type w:val="continuous"/>
        </w:sectPr>
      </w:pPr>
    </w:p>
    <w:p>
      <w:pPr>
        <w:ind w:left="160" w:right="80" w:hanging="161"/>
        <w:spacing w:after="0" w:line="224" w:lineRule="auto"/>
        <w:rPr>
          <w:sz w:val="20"/>
          <w:szCs w:val="20"/>
          <w:color w:val="auto"/>
        </w:rPr>
      </w:pPr>
      <w:r>
        <w:rPr>
          <w:rFonts w:ascii="Arial" w:cs="Arial" w:eastAsia="Arial" w:hAnsi="Arial"/>
          <w:sz w:val="14"/>
          <w:szCs w:val="14"/>
          <w:color w:val="auto"/>
        </w:rPr>
        <w:t>Issuance of Class A common stock upon exercise of stock options (unaudited)</w:t>
      </w:r>
    </w:p>
    <w:p>
      <w:pPr>
        <w:spacing w:after="0" w:line="8" w:lineRule="exact"/>
        <w:rPr>
          <w:sz w:val="20"/>
          <w:szCs w:val="20"/>
          <w:color w:val="auto"/>
        </w:rPr>
      </w:pPr>
    </w:p>
    <w:p>
      <w:pPr>
        <w:ind w:left="160" w:right="40" w:hanging="161"/>
        <w:spacing w:after="0" w:line="243" w:lineRule="auto"/>
        <w:rPr>
          <w:sz w:val="20"/>
          <w:szCs w:val="20"/>
          <w:color w:val="auto"/>
        </w:rPr>
      </w:pPr>
      <w:r>
        <w:rPr>
          <w:rFonts w:ascii="Arial" w:cs="Arial" w:eastAsia="Arial" w:hAnsi="Arial"/>
          <w:sz w:val="13"/>
          <w:szCs w:val="13"/>
          <w:color w:val="auto"/>
        </w:rPr>
        <w:t>Issuance of Class A common stock pursuant to settlement of restricted stock units (unaudited)</w:t>
      </w:r>
    </w:p>
    <w:p>
      <w:pPr>
        <w:spacing w:after="0" w:line="5" w:lineRule="exact"/>
        <w:rPr>
          <w:sz w:val="20"/>
          <w:szCs w:val="20"/>
          <w:color w:val="auto"/>
        </w:rPr>
      </w:pPr>
    </w:p>
    <w:p>
      <w:pPr>
        <w:ind w:left="160" w:right="40" w:hanging="161"/>
        <w:spacing w:after="0" w:line="235" w:lineRule="auto"/>
        <w:rPr>
          <w:sz w:val="20"/>
          <w:szCs w:val="20"/>
          <w:color w:val="auto"/>
        </w:rPr>
      </w:pPr>
      <w:r>
        <w:rPr>
          <w:rFonts w:ascii="Arial" w:cs="Arial" w:eastAsia="Arial" w:hAnsi="Arial"/>
          <w:sz w:val="13"/>
          <w:szCs w:val="13"/>
          <w:color w:val="auto"/>
        </w:rPr>
        <w:t>Class A common stock surrendered for employees' tax liability upon settlement of restricted stock units (unaudited)</w:t>
      </w:r>
    </w:p>
    <w:p>
      <w:pPr>
        <w:spacing w:after="0" w:line="8" w:lineRule="exact"/>
        <w:rPr>
          <w:sz w:val="20"/>
          <w:szCs w:val="20"/>
          <w:color w:val="auto"/>
        </w:rPr>
      </w:pPr>
    </w:p>
    <w:p>
      <w:pPr>
        <w:ind w:left="160" w:right="60" w:hanging="161"/>
        <w:spacing w:after="0" w:line="218" w:lineRule="auto"/>
        <w:rPr>
          <w:sz w:val="20"/>
          <w:szCs w:val="20"/>
          <w:color w:val="auto"/>
        </w:rPr>
      </w:pPr>
      <w:r>
        <w:rPr>
          <w:rFonts w:ascii="Arial" w:cs="Arial" w:eastAsia="Arial" w:hAnsi="Arial"/>
          <w:sz w:val="14"/>
          <w:szCs w:val="14"/>
          <w:color w:val="auto"/>
        </w:rPr>
        <w:t>Conversion of Series A redeemable convertible preferred stock to Class A common stock (unaudited)</w:t>
      </w:r>
    </w:p>
    <w:p>
      <w:pPr>
        <w:spacing w:after="0" w:line="9" w:lineRule="exact"/>
        <w:rPr>
          <w:sz w:val="20"/>
          <w:szCs w:val="20"/>
          <w:color w:val="auto"/>
        </w:rPr>
      </w:pPr>
    </w:p>
    <w:p>
      <w:pPr>
        <w:ind w:left="160" w:right="460" w:hanging="161"/>
        <w:spacing w:after="0" w:line="236" w:lineRule="auto"/>
        <w:rPr>
          <w:sz w:val="20"/>
          <w:szCs w:val="20"/>
          <w:color w:val="auto"/>
        </w:rPr>
      </w:pPr>
      <w:r>
        <w:rPr>
          <w:rFonts w:ascii="Arial" w:cs="Arial" w:eastAsia="Arial" w:hAnsi="Arial"/>
          <w:sz w:val="14"/>
          <w:szCs w:val="14"/>
          <w:color w:val="auto"/>
        </w:rPr>
        <w:t>Repurchase of stock options (unaudited)</w:t>
      </w:r>
    </w:p>
    <w:p>
      <w:pPr>
        <w:spacing w:after="0" w:line="7" w:lineRule="exact"/>
        <w:rPr>
          <w:sz w:val="20"/>
          <w:szCs w:val="20"/>
          <w:color w:val="auto"/>
        </w:rPr>
      </w:pPr>
    </w:p>
    <w:p>
      <w:pPr>
        <w:ind w:left="160" w:right="40" w:hanging="161"/>
        <w:spacing w:after="0" w:line="224" w:lineRule="auto"/>
        <w:rPr>
          <w:sz w:val="20"/>
          <w:szCs w:val="20"/>
          <w:color w:val="auto"/>
        </w:rPr>
      </w:pPr>
      <w:r>
        <w:rPr>
          <w:rFonts w:ascii="Arial" w:cs="Arial" w:eastAsia="Arial" w:hAnsi="Arial"/>
          <w:sz w:val="14"/>
          <w:szCs w:val="14"/>
          <w:color w:val="auto"/>
        </w:rPr>
        <w:t>Repurchase of Series A redeemable convertible preferred stock (unaudited)</w:t>
      </w:r>
    </w:p>
    <w:p>
      <w:pPr>
        <w:spacing w:after="0" w:line="8" w:lineRule="exact"/>
        <w:rPr>
          <w:sz w:val="20"/>
          <w:szCs w:val="20"/>
          <w:color w:val="auto"/>
        </w:rPr>
      </w:pPr>
    </w:p>
    <w:p>
      <w:pPr>
        <w:ind w:left="160" w:right="240" w:hanging="161"/>
        <w:spacing w:after="0" w:line="236" w:lineRule="auto"/>
        <w:rPr>
          <w:sz w:val="20"/>
          <w:szCs w:val="20"/>
          <w:color w:val="auto"/>
        </w:rPr>
      </w:pPr>
      <w:r>
        <w:rPr>
          <w:rFonts w:ascii="Arial" w:cs="Arial" w:eastAsia="Arial" w:hAnsi="Arial"/>
          <w:sz w:val="14"/>
          <w:szCs w:val="14"/>
          <w:color w:val="auto"/>
        </w:rPr>
        <w:t>Repurchase of Class A common stock (unaudited)</w:t>
      </w:r>
    </w:p>
    <w:p>
      <w:pPr>
        <w:spacing w:after="0" w:line="7" w:lineRule="exact"/>
        <w:rPr>
          <w:sz w:val="20"/>
          <w:szCs w:val="20"/>
          <w:color w:val="auto"/>
        </w:rPr>
      </w:pPr>
    </w:p>
    <w:p>
      <w:pPr>
        <w:ind w:left="160" w:right="260" w:hanging="161"/>
        <w:spacing w:after="0" w:line="236" w:lineRule="auto"/>
        <w:rPr>
          <w:sz w:val="20"/>
          <w:szCs w:val="20"/>
          <w:color w:val="auto"/>
        </w:rPr>
      </w:pPr>
      <w:r>
        <w:rPr>
          <w:rFonts w:ascii="Arial" w:cs="Arial" w:eastAsia="Arial" w:hAnsi="Arial"/>
          <w:sz w:val="14"/>
          <w:szCs w:val="14"/>
          <w:color w:val="auto"/>
        </w:rPr>
        <w:t>Repurchase of Class F common stock (unaudited)</w:t>
      </w:r>
    </w:p>
    <w:p>
      <w:pPr>
        <w:spacing w:after="0" w:line="7" w:lineRule="exact"/>
        <w:rPr>
          <w:sz w:val="20"/>
          <w:szCs w:val="20"/>
          <w:color w:val="auto"/>
        </w:rPr>
      </w:pPr>
    </w:p>
    <w:p>
      <w:pPr>
        <w:ind w:right="560"/>
        <w:spacing w:after="0" w:line="260" w:lineRule="auto"/>
        <w:rPr>
          <w:sz w:val="20"/>
          <w:szCs w:val="20"/>
          <w:color w:val="auto"/>
        </w:rPr>
      </w:pPr>
      <w:r>
        <w:rPr>
          <w:rFonts w:ascii="Arial" w:cs="Arial" w:eastAsia="Arial" w:hAnsi="Arial"/>
          <w:sz w:val="13"/>
          <w:szCs w:val="13"/>
          <w:color w:val="auto"/>
        </w:rPr>
        <w:t>Stock-based compensation (unaudited)</w:t>
      </w:r>
    </w:p>
    <w:p>
      <w:pPr>
        <w:ind w:left="160" w:hanging="161"/>
        <w:spacing w:after="0" w:line="236" w:lineRule="auto"/>
        <w:rPr>
          <w:sz w:val="20"/>
          <w:szCs w:val="20"/>
          <w:color w:val="auto"/>
        </w:rPr>
      </w:pPr>
      <w:r>
        <w:rPr>
          <w:rFonts w:ascii="Arial" w:cs="Arial" w:eastAsia="Arial" w:hAnsi="Arial"/>
          <w:sz w:val="14"/>
          <w:szCs w:val="14"/>
          <w:color w:val="auto"/>
        </w:rPr>
        <w:t>Other comprehensive income, net of tax (unaudited)</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Net loss (unaudited)</w:t>
      </w:r>
    </w:p>
    <w:p>
      <w:pPr>
        <w:spacing w:after="0" w:line="24" w:lineRule="exact"/>
        <w:rPr>
          <w:sz w:val="20"/>
          <w:szCs w:val="20"/>
          <w:color w:val="auto"/>
        </w:rPr>
      </w:pPr>
    </w:p>
    <w:p>
      <w:pPr>
        <w:ind w:left="160" w:right="60" w:hanging="161"/>
        <w:spacing w:after="0" w:line="239" w:lineRule="auto"/>
        <w:rPr>
          <w:sz w:val="20"/>
          <w:szCs w:val="20"/>
          <w:color w:val="auto"/>
        </w:rPr>
      </w:pPr>
      <w:r>
        <w:rPr>
          <w:rFonts w:ascii="Arial" w:cs="Arial" w:eastAsia="Arial" w:hAnsi="Arial"/>
          <w:sz w:val="14"/>
          <w:szCs w:val="14"/>
          <w:b w:val="1"/>
          <w:bCs w:val="1"/>
          <w:color w:val="auto"/>
        </w:rPr>
        <w:t>BALANCE - September 30, 2021 (unaudited)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0" w:hanging="688"/>
        <w:spacing w:after="0"/>
        <w:tabs>
          <w:tab w:leader="none" w:pos="8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(0.5)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0" w:hanging="760"/>
        <w:spacing w:after="0"/>
        <w:tabs>
          <w:tab w:leader="none" w:pos="8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60" w:val="left"/>
          <w:tab w:leader="none" w:pos="780" w:val="left"/>
        </w:tabs>
        <w:rPr>
          <w:sz w:val="20"/>
          <w:szCs w:val="20"/>
          <w:color w:val="auto"/>
        </w:rPr>
      </w:pPr>
      <w:r>
        <w:rPr>
          <w:rFonts w:ascii="Arial" w:cs="Arial" w:eastAsia="Arial" w:hAnsi="Arial"/>
          <w:sz w:val="14"/>
          <w:szCs w:val="14"/>
          <w:color w:val="auto"/>
        </w:rPr>
        <w:t>7,527</w:t>
        <w:tab/>
        <w:t>$</w:t>
      </w:r>
      <w:r>
        <w:rPr>
          <w:sz w:val="20"/>
          <w:szCs w:val="20"/>
          <w:color w:val="auto"/>
        </w:rPr>
        <w:tab/>
      </w:r>
      <w:r>
        <w:rPr>
          <w:rFonts w:ascii="Arial" w:cs="Arial" w:eastAsia="Arial" w:hAnsi="Arial"/>
          <w:sz w:val="12"/>
          <w:szCs w:val="12"/>
          <w:color w:val="auto"/>
        </w:rPr>
        <w:t>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55245</wp:posOffset>
            </wp:positionV>
            <wp:extent cx="10026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60" w:type="dxa"/>
            <w:vAlign w:val="bottom"/>
          </w:tcPr>
          <w:p>
            <w:pPr>
              <w:jc w:val="right"/>
              <w:spacing w:after="0"/>
              <w:rPr>
                <w:sz w:val="20"/>
                <w:szCs w:val="20"/>
                <w:color w:val="auto"/>
              </w:rPr>
            </w:pPr>
            <w:r>
              <w:rPr>
                <w:rFonts w:ascii="Arial" w:cs="Arial" w:eastAsia="Arial" w:hAnsi="Arial"/>
                <w:sz w:val="14"/>
                <w:szCs w:val="14"/>
                <w:color w:val="auto"/>
              </w:rPr>
              <w:t>1,695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459"/>
        </w:trPr>
        <w:tc>
          <w:tcPr>
            <w:tcW w:w="860" w:type="dxa"/>
            <w:vAlign w:val="bottom"/>
          </w:tcPr>
          <w:p>
            <w:pPr>
              <w:jc w:val="right"/>
              <w:spacing w:after="0"/>
              <w:rPr>
                <w:sz w:val="20"/>
                <w:szCs w:val="20"/>
                <w:color w:val="auto"/>
              </w:rPr>
            </w:pPr>
            <w:r>
              <w:rPr>
                <w:rFonts w:ascii="Arial" w:cs="Arial" w:eastAsia="Arial" w:hAnsi="Arial"/>
                <w:sz w:val="14"/>
                <w:szCs w:val="14"/>
                <w:color w:val="auto"/>
              </w:rPr>
              <w:t>385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608"/>
        </w:trPr>
        <w:tc>
          <w:tcPr>
            <w:tcW w:w="86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581"/>
        </w:trPr>
        <w:tc>
          <w:tcPr>
            <w:tcW w:w="86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324"/>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459"/>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24"/>
        </w:trPr>
        <w:tc>
          <w:tcPr>
            <w:tcW w:w="86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324"/>
        </w:trPr>
        <w:tc>
          <w:tcPr>
            <w:tcW w:w="860" w:type="dxa"/>
            <w:vAlign w:val="bottom"/>
          </w:tcPr>
          <w:p>
            <w:pPr>
              <w:jc w:val="right"/>
              <w:spacing w:after="0"/>
              <w:rPr>
                <w:sz w:val="20"/>
                <w:szCs w:val="20"/>
                <w:color w:val="auto"/>
              </w:rPr>
            </w:pPr>
            <w:r>
              <w:rPr>
                <w:rFonts w:ascii="Arial" w:cs="Arial" w:eastAsia="Arial" w:hAnsi="Arial"/>
                <w:sz w:val="14"/>
                <w:szCs w:val="14"/>
                <w:color w:val="auto"/>
              </w:rPr>
              <w:t>(883)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324"/>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324"/>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(34.6)</w:t>
            </w:r>
          </w:p>
        </w:tc>
      </w:tr>
      <w:tr>
        <w:trPr>
          <w:trHeight w:val="25"/>
        </w:trPr>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2"/>
        </w:trPr>
        <w:tc>
          <w:tcPr>
            <w:tcW w:w="860" w:type="dxa"/>
            <w:vAlign w:val="bottom"/>
          </w:tcPr>
          <w:p>
            <w:pPr>
              <w:jc w:val="right"/>
              <w:spacing w:after="0"/>
              <w:rPr>
                <w:sz w:val="20"/>
                <w:szCs w:val="20"/>
                <w:color w:val="auto"/>
              </w:rPr>
            </w:pPr>
            <w:r>
              <w:rPr>
                <w:rFonts w:ascii="Arial" w:cs="Arial" w:eastAsia="Arial" w:hAnsi="Arial"/>
                <w:sz w:val="14"/>
                <w:szCs w:val="14"/>
                <w:color w:val="auto"/>
              </w:rPr>
              <w:t>49,971</w:t>
            </w:r>
          </w:p>
        </w:tc>
        <w:tc>
          <w:tcPr>
            <w:tcW w:w="8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240" w:type="dxa"/>
            <w:vAlign w:val="bottom"/>
            <w:gridSpan w:val="3"/>
          </w:tcPr>
          <w:p>
            <w:pPr>
              <w:ind w:left="620"/>
              <w:spacing w:after="0"/>
              <w:rPr>
                <w:sz w:val="20"/>
                <w:szCs w:val="20"/>
                <w:color w:val="auto"/>
              </w:rPr>
            </w:pPr>
            <w:r>
              <w:rPr>
                <w:rFonts w:ascii="Arial" w:cs="Arial" w:eastAsia="Arial" w:hAnsi="Arial"/>
                <w:sz w:val="14"/>
                <w:szCs w:val="14"/>
                <w:color w:val="auto"/>
              </w:rPr>
              <w:t>—  $</w:t>
            </w:r>
          </w:p>
        </w:tc>
        <w:tc>
          <w:tcPr>
            <w:tcW w:w="780" w:type="dxa"/>
            <w:vAlign w:val="bottom"/>
            <w:gridSpan w:val="3"/>
          </w:tcPr>
          <w:p>
            <w:pPr>
              <w:ind w:left="240"/>
              <w:spacing w:after="0"/>
              <w:rPr>
                <w:sz w:val="20"/>
                <w:szCs w:val="20"/>
                <w:color w:val="auto"/>
              </w:rPr>
            </w:pPr>
            <w:r>
              <w:rPr>
                <w:rFonts w:ascii="Arial" w:cs="Arial" w:eastAsia="Arial" w:hAnsi="Arial"/>
                <w:sz w:val="14"/>
                <w:szCs w:val="14"/>
                <w:color w:val="auto"/>
              </w:rPr>
              <w:t>—  $</w:t>
            </w:r>
          </w:p>
        </w:tc>
        <w:tc>
          <w:tcPr>
            <w:tcW w:w="520" w:type="dxa"/>
            <w:vAlign w:val="bottom"/>
          </w:tcPr>
          <w:p>
            <w:pPr>
              <w:jc w:val="right"/>
              <w:spacing w:after="0"/>
              <w:rPr>
                <w:sz w:val="20"/>
                <w:szCs w:val="20"/>
                <w:color w:val="auto"/>
              </w:rPr>
            </w:pPr>
            <w:r>
              <w:rPr>
                <w:rFonts w:ascii="Arial" w:cs="Arial" w:eastAsia="Arial" w:hAnsi="Arial"/>
                <w:sz w:val="14"/>
                <w:szCs w:val="14"/>
                <w:color w:val="auto"/>
              </w:rPr>
              <w:t>118.5</w:t>
            </w:r>
          </w:p>
        </w:tc>
        <w:tc>
          <w:tcPr>
            <w:tcW w:w="8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21"/>
                <w:szCs w:val="21"/>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(66.6)</w:t>
            </w:r>
          </w:p>
        </w:tc>
        <w:tc>
          <w:tcPr>
            <w:tcW w:w="8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52.8</w:t>
            </w:r>
          </w:p>
        </w:tc>
      </w:tr>
      <w:tr>
        <w:trPr>
          <w:trHeight w:val="25"/>
        </w:trPr>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2100" w:space="520"/>
            <w:col w:w="1080" w:space="180"/>
            <w:col w:w="7340"/>
          </w:cols>
          <w:pgMar w:left="340" w:top="121"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F-7</w:t>
      </w:r>
    </w:p>
    <w:p>
      <w:pPr>
        <w:sectPr>
          <w:pgSz w:w="11900" w:h="16838" w:orient="portrait"/>
          <w:cols w:equalWidth="0" w:num="1">
            <w:col w:w="11220"/>
          </w:cols>
          <w:pgMar w:left="340" w:top="121" w:right="339" w:bottom="1440" w:gutter="0" w:footer="0" w:header="0"/>
          <w:type w:val="continuous"/>
        </w:sectPr>
      </w:pPr>
    </w:p>
    <w:bookmarkStart w:id="167" w:name="page168"/>
    <w:bookmarkEnd w:id="167"/>
    <w:p>
      <w:pPr>
        <w:ind w:left="3880"/>
        <w:spacing w:after="0"/>
        <w:rPr>
          <w:sz w:val="20"/>
          <w:szCs w:val="20"/>
          <w:color w:val="auto"/>
        </w:rPr>
      </w:pPr>
      <w:r>
        <w:rPr>
          <w:rFonts w:ascii="Arial" w:cs="Arial" w:eastAsia="Arial" w:hAnsi="Arial"/>
          <w:sz w:val="18"/>
          <w:szCs w:val="18"/>
          <w:b w:val="1"/>
          <w:bCs w:val="1"/>
          <w:color w:val="auto"/>
        </w:rPr>
        <w:t>NERDWALLET, INC. AND SUBSIDIARIES</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gridSpan w:val="3"/>
          </w:tcPr>
          <w:p>
            <w:pPr>
              <w:jc w:val="right"/>
              <w:ind w:right="68"/>
              <w:spacing w:after="0"/>
              <w:rPr>
                <w:sz w:val="20"/>
                <w:szCs w:val="20"/>
                <w:color w:val="auto"/>
              </w:rPr>
            </w:pPr>
            <w:r>
              <w:rPr>
                <w:rFonts w:ascii="Arial" w:cs="Arial" w:eastAsia="Arial" w:hAnsi="Arial"/>
                <w:sz w:val="13"/>
                <w:szCs w:val="13"/>
                <w:b w:val="1"/>
                <w:bCs w:val="1"/>
                <w:color w:val="auto"/>
              </w:rPr>
              <w:t>Year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center"/>
              <w:ind w:right="228"/>
              <w:spacing w:after="0"/>
              <w:rPr>
                <w:sz w:val="20"/>
                <w:szCs w:val="20"/>
                <w:color w:val="auto"/>
              </w:rPr>
            </w:pPr>
            <w:r>
              <w:rPr>
                <w:rFonts w:ascii="Arial" w:cs="Arial" w:eastAsia="Arial" w:hAnsi="Arial"/>
                <w:sz w:val="13"/>
                <w:szCs w:val="13"/>
                <w:b w:val="1"/>
                <w:bCs w:val="1"/>
                <w:color w:val="auto"/>
                <w:w w:val="93"/>
              </w:rPr>
              <w:t>Nine Months Ended</w:t>
            </w:r>
          </w:p>
        </w:tc>
      </w:tr>
      <w:tr>
        <w:trPr>
          <w:trHeight w:val="174"/>
        </w:trPr>
        <w:tc>
          <w:tcPr>
            <w:tcW w:w="5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December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3"/>
          </w:tcPr>
          <w:p>
            <w:pPr>
              <w:jc w:val="center"/>
              <w:ind w:left="508"/>
              <w:spacing w:after="0"/>
              <w:rPr>
                <w:sz w:val="20"/>
                <w:szCs w:val="20"/>
                <w:color w:val="auto"/>
              </w:rPr>
            </w:pPr>
            <w:r>
              <w:rPr>
                <w:rFonts w:ascii="Arial" w:cs="Arial" w:eastAsia="Arial" w:hAnsi="Arial"/>
                <w:sz w:val="13"/>
                <w:szCs w:val="13"/>
                <w:b w:val="1"/>
                <w:bCs w:val="1"/>
                <w:color w:val="auto"/>
                <w:w w:val="92"/>
              </w:rPr>
              <w:t>September 30,</w:t>
            </w:r>
          </w:p>
        </w:tc>
        <w:tc>
          <w:tcPr>
            <w:tcW w:w="880" w:type="dxa"/>
            <w:vAlign w:val="bottom"/>
          </w:tcPr>
          <w:p>
            <w:pPr>
              <w:spacing w:after="0"/>
              <w:rPr>
                <w:sz w:val="15"/>
                <w:szCs w:val="15"/>
                <w:color w:val="auto"/>
              </w:rPr>
            </w:pPr>
          </w:p>
        </w:tc>
      </w:tr>
      <w:tr>
        <w:trPr>
          <w:trHeight w:val="28"/>
        </w:trPr>
        <w:tc>
          <w:tcPr>
            <w:tcW w:w="5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2"/>
        </w:trPr>
        <w:tc>
          <w:tcPr>
            <w:tcW w:w="570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3"/>
                <w:szCs w:val="13"/>
                <w:b w:val="1"/>
                <w:bCs w:val="1"/>
                <w:color w:val="auto"/>
              </w:rPr>
              <w:t>2019</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ind w:right="44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48"/>
              <w:spacing w:after="0"/>
              <w:rPr>
                <w:sz w:val="20"/>
                <w:szCs w:val="20"/>
                <w:color w:val="auto"/>
              </w:rPr>
            </w:pPr>
            <w:r>
              <w:rPr>
                <w:rFonts w:ascii="Arial" w:cs="Arial" w:eastAsia="Arial" w:hAnsi="Arial"/>
                <w:sz w:val="13"/>
                <w:szCs w:val="13"/>
                <w:b w:val="1"/>
                <w:bCs w:val="1"/>
                <w:color w:val="auto"/>
              </w:rPr>
              <w:t>2021</w:t>
            </w:r>
          </w:p>
        </w:tc>
      </w:tr>
      <w:tr>
        <w:trPr>
          <w:trHeight w:val="28"/>
        </w:trPr>
        <w:tc>
          <w:tcPr>
            <w:tcW w:w="5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2"/>
        </w:trPr>
        <w:tc>
          <w:tcPr>
            <w:tcW w:w="5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3"/>
          </w:tcPr>
          <w:p>
            <w:pPr>
              <w:jc w:val="center"/>
              <w:ind w:left="508"/>
              <w:spacing w:after="0"/>
              <w:rPr>
                <w:sz w:val="20"/>
                <w:szCs w:val="20"/>
                <w:color w:val="auto"/>
              </w:rPr>
            </w:pPr>
            <w:r>
              <w:rPr>
                <w:rFonts w:ascii="Arial" w:cs="Arial" w:eastAsia="Arial" w:hAnsi="Arial"/>
                <w:sz w:val="13"/>
                <w:szCs w:val="13"/>
                <w:b w:val="1"/>
                <w:bCs w:val="1"/>
                <w:color w:val="auto"/>
                <w:w w:val="93"/>
              </w:rPr>
              <w:t>(unaudited)</w:t>
            </w:r>
          </w:p>
        </w:tc>
        <w:tc>
          <w:tcPr>
            <w:tcW w:w="880" w:type="dxa"/>
            <w:vAlign w:val="bottom"/>
          </w:tcPr>
          <w:p>
            <w:pPr>
              <w:spacing w:after="0"/>
              <w:rPr>
                <w:sz w:val="15"/>
                <w:szCs w:val="15"/>
                <w:color w:val="auto"/>
              </w:rPr>
            </w:pPr>
          </w:p>
        </w:tc>
      </w:tr>
      <w:tr>
        <w:trPr>
          <w:trHeight w:val="28"/>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60" w:type="dxa"/>
            <w:vAlign w:val="bottom"/>
          </w:tcPr>
          <w:p>
            <w:pPr>
              <w:jc w:val="right"/>
              <w:ind w:right="710"/>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(34.6)</w:t>
            </w:r>
          </w:p>
        </w:tc>
      </w:tr>
      <w:tr>
        <w:trPr>
          <w:trHeight w:val="26"/>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Adjustments to reconcile net income (loss) to net cash provided by (used in) operating activities:</w:t>
            </w: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26"/>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on disposal of assets</w:t>
            </w: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Impairment of capitalized website and software development costs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6"/>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amortization of debt premium</w:t>
            </w: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Other (gains) losses, net</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6"/>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Change in fair value of contingent consideration related to earnouts</w:t>
            </w:r>
          </w:p>
        </w:tc>
        <w:tc>
          <w:tcPr>
            <w:tcW w:w="8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6"/>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taxes</w:t>
            </w: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Non-cash lease costs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6"/>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 net of business combinations:</w:t>
            </w: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26"/>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assets</w:t>
            </w: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6"/>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6"/>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8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84"/>
        </w:trPr>
        <w:tc>
          <w:tcPr>
            <w:tcW w:w="5700" w:type="dxa"/>
            <w:vAlign w:val="bottom"/>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8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5"/>
        </w:trPr>
        <w:tc>
          <w:tcPr>
            <w:tcW w:w="5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Capitalized website and software development costs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5"/>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w:t>
            </w: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Business combinations, net of cash acquired</w:t>
            </w:r>
          </w:p>
        </w:tc>
        <w:tc>
          <w:tcPr>
            <w:tcW w:w="8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5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8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69"/>
        </w:trPr>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8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28"/>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Class A common stock</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Repurchase of Class A common stock</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5"/>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Class F common stock</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Repurchase of stock options</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Series A redeemable convertible preferred stock</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Tax payments related to net-share settlements on restricted stock units</w:t>
            </w:r>
          </w:p>
        </w:tc>
        <w:tc>
          <w:tcPr>
            <w:tcW w:w="8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5"/>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Proceeds from early exercise of stock options</w:t>
            </w:r>
          </w:p>
        </w:tc>
        <w:tc>
          <w:tcPr>
            <w:tcW w:w="8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5"/>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line of credit</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5700" w:type="dxa"/>
            <w:vAlign w:val="bottom"/>
          </w:tcPr>
          <w:p>
            <w:pPr>
              <w:ind w:left="20"/>
              <w:spacing w:after="0"/>
              <w:rPr>
                <w:sz w:val="20"/>
                <w:szCs w:val="20"/>
                <w:color w:val="auto"/>
              </w:rPr>
            </w:pPr>
            <w:r>
              <w:rPr>
                <w:rFonts w:ascii="Arial" w:cs="Arial" w:eastAsia="Arial" w:hAnsi="Arial"/>
                <w:sz w:val="14"/>
                <w:szCs w:val="14"/>
                <w:color w:val="auto"/>
              </w:rPr>
              <w:t>Payments on line of credit</w:t>
            </w:r>
          </w:p>
        </w:tc>
        <w:tc>
          <w:tcPr>
            <w:tcW w:w="8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 of deferred offering costs related to initial public offering</w:t>
            </w: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4"/>
        </w:trPr>
        <w:tc>
          <w:tcPr>
            <w:tcW w:w="570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8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w:t>
            </w:r>
          </w:p>
        </w:tc>
      </w:tr>
      <w:tr>
        <w:trPr>
          <w:trHeight w:val="25"/>
        </w:trPr>
        <w:tc>
          <w:tcPr>
            <w:tcW w:w="5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4"/>
        </w:trPr>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8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(31.9)</w:t>
            </w:r>
          </w:p>
        </w:tc>
      </w:tr>
      <w:tr>
        <w:trPr>
          <w:trHeight w:val="25"/>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8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Beginning of period</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83.4</w:t>
            </w:r>
          </w:p>
        </w:tc>
      </w:tr>
      <w:tr>
        <w:trPr>
          <w:trHeight w:val="25"/>
        </w:trPr>
        <w:tc>
          <w:tcPr>
            <w:tcW w:w="5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period</w:t>
            </w: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F-8</w:t>
      </w:r>
    </w:p>
    <w:p>
      <w:pPr>
        <w:sectPr>
          <w:pgSz w:w="11900" w:h="16838" w:orient="portrait"/>
          <w:cols w:equalWidth="0" w:num="1">
            <w:col w:w="11240"/>
          </w:cols>
          <w:pgMar w:left="320" w:top="337" w:right="339" w:bottom="1440" w:gutter="0" w:footer="0" w:header="0"/>
        </w:sectPr>
      </w:pPr>
    </w:p>
    <w:bookmarkStart w:id="168" w:name="page169"/>
    <w:bookmarkEnd w:id="168"/>
    <w:p>
      <w:pPr>
        <w:ind w:left="3880"/>
        <w:spacing w:after="0"/>
        <w:rPr>
          <w:sz w:val="20"/>
          <w:szCs w:val="20"/>
          <w:color w:val="auto"/>
        </w:rPr>
      </w:pPr>
      <w:r>
        <w:rPr>
          <w:rFonts w:ascii="Arial" w:cs="Arial" w:eastAsia="Arial" w:hAnsi="Arial"/>
          <w:sz w:val="18"/>
          <w:szCs w:val="18"/>
          <w:b w:val="1"/>
          <w:bCs w:val="1"/>
          <w:color w:val="auto"/>
        </w:rPr>
        <w:t>NERDWALLET, INC. AND SUBSIDIARIES</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SUPPLEMENTAL NON-CASH FINANCING ACTIVITIES DISCLOSURE:</w:t>
            </w:r>
          </w:p>
        </w:tc>
        <w:tc>
          <w:tcPr>
            <w:tcW w:w="9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r>
      <w:tr>
        <w:trPr>
          <w:trHeight w:val="190"/>
        </w:trPr>
        <w:tc>
          <w:tcPr>
            <w:tcW w:w="5320" w:type="dxa"/>
            <w:vAlign w:val="bottom"/>
          </w:tcPr>
          <w:p>
            <w:pPr>
              <w:ind w:left="20"/>
              <w:spacing w:after="0"/>
              <w:rPr>
                <w:sz w:val="20"/>
                <w:szCs w:val="20"/>
                <w:color w:val="auto"/>
              </w:rPr>
            </w:pPr>
            <w:r>
              <w:rPr>
                <w:rFonts w:ascii="Arial" w:cs="Arial" w:eastAsia="Arial" w:hAnsi="Arial"/>
                <w:sz w:val="14"/>
                <w:szCs w:val="14"/>
                <w:color w:val="auto"/>
              </w:rPr>
              <w:t>Deferred offering costs related to initial public offering not yet paid</w:t>
            </w:r>
          </w:p>
        </w:tc>
        <w:tc>
          <w:tcPr>
            <w:tcW w:w="9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6"/>
        </w:trPr>
        <w:tc>
          <w:tcPr>
            <w:tcW w:w="5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SUPPLEMENTAL CASH FLOW DISCLOSURE:</w:t>
            </w:r>
          </w:p>
        </w:tc>
        <w:tc>
          <w:tcPr>
            <w:tcW w:w="9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r>
      <w:tr>
        <w:trPr>
          <w:trHeight w:val="191"/>
        </w:trPr>
        <w:tc>
          <w:tcPr>
            <w:tcW w:w="5320" w:type="dxa"/>
            <w:vAlign w:val="bottom"/>
          </w:tcPr>
          <w:p>
            <w:pPr>
              <w:ind w:left="20"/>
              <w:spacing w:after="0"/>
              <w:rPr>
                <w:sz w:val="20"/>
                <w:szCs w:val="20"/>
                <w:color w:val="auto"/>
              </w:rPr>
            </w:pPr>
            <w:r>
              <w:rPr>
                <w:rFonts w:ascii="Arial" w:cs="Arial" w:eastAsia="Arial" w:hAnsi="Arial"/>
                <w:sz w:val="14"/>
                <w:szCs w:val="14"/>
                <w:color w:val="auto"/>
              </w:rPr>
              <w:t>Income tax payments</w:t>
            </w:r>
          </w:p>
        </w:tc>
        <w:tc>
          <w:tcPr>
            <w:tcW w:w="9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6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6"/>
        </w:trPr>
        <w:tc>
          <w:tcPr>
            <w:tcW w:w="5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refunds</w:t>
            </w:r>
          </w:p>
        </w:tc>
        <w:tc>
          <w:tcPr>
            <w:tcW w:w="92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62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532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9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6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6"/>
        </w:trPr>
        <w:tc>
          <w:tcPr>
            <w:tcW w:w="5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SUPPLEMENTAL CASH FLOW DISCLOSURE RELATED TO OPERATING LEASES:</w:t>
            </w:r>
          </w:p>
        </w:tc>
        <w:tc>
          <w:tcPr>
            <w:tcW w:w="9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r>
      <w:tr>
        <w:trPr>
          <w:trHeight w:val="190"/>
        </w:trPr>
        <w:tc>
          <w:tcPr>
            <w:tcW w:w="5320" w:type="dxa"/>
            <w:vAlign w:val="bottom"/>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9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6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6"/>
        </w:trPr>
        <w:tc>
          <w:tcPr>
            <w:tcW w:w="5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1"/>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 arising from obtaining right-of-use assets</w:t>
            </w:r>
          </w:p>
        </w:tc>
        <w:tc>
          <w:tcPr>
            <w:tcW w:w="9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62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6"/>
        </w:trPr>
        <w:tc>
          <w:tcPr>
            <w:tcW w:w="5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F-9</w:t>
      </w:r>
    </w:p>
    <w:p>
      <w:pPr>
        <w:sectPr>
          <w:pgSz w:w="11900" w:h="16838" w:orient="portrait"/>
          <w:cols w:equalWidth="0" w:num="1">
            <w:col w:w="11240"/>
          </w:cols>
          <w:pgMar w:left="320" w:top="337" w:right="339" w:bottom="1440" w:gutter="0" w:footer="0" w:header="0"/>
        </w:sectPr>
      </w:pPr>
    </w:p>
    <w:bookmarkStart w:id="169" w:name="page170"/>
    <w:bookmarkEnd w:id="169"/>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ITS SIGNIFICANT ACCOUNTING POLICIES</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NerdWallet, Inc. (the “Company”), a Delaware corporation, and its subsidiaries is a privately held company formed on December 29,</w:t>
      </w:r>
      <w:r>
        <w:rPr>
          <w:rFonts w:ascii="Arial" w:cs="Arial" w:eastAsia="Arial" w:hAnsi="Arial"/>
          <w:sz w:val="18"/>
          <w:szCs w:val="18"/>
          <w:b w:val="1"/>
          <w:bCs w:val="1"/>
          <w:color w:val="auto"/>
        </w:rPr>
        <w:t xml:space="preserve"> </w:t>
      </w:r>
      <w:r>
        <w:rPr>
          <w:rFonts w:ascii="Arial" w:cs="Arial" w:eastAsia="Arial" w:hAnsi="Arial"/>
          <w:sz w:val="18"/>
          <w:szCs w:val="18"/>
          <w:color w:val="auto"/>
        </w:rPr>
        <w:t>2011, and headquartered in San Francisco, California. The Company provides consumer-driven advice about personal finance through its platform by connecting individuals and small and mid-sized businesses (“SMBs”) with providers of financial products.</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Basis of Consolidation and Presentation—</w:t>
      </w:r>
      <w:r>
        <w:rPr>
          <w:rFonts w:ascii="Arial" w:cs="Arial" w:eastAsia="Arial" w:hAnsi="Arial"/>
          <w:sz w:val="17"/>
          <w:szCs w:val="17"/>
          <w:color w:val="auto"/>
        </w:rPr>
        <w:t>The accompanying consolidated financial statements have been prepared in accordance with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principles generally accepted in the United States of America (“GAAP”). The consolidated financial statements include the accounts of the Company and its wholly-owned subsidiaries. All intercompany transactions and balances have been eliminated in consolidation.</w:t>
      </w:r>
    </w:p>
    <w:p>
      <w:pPr>
        <w:spacing w:after="0" w:line="10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Unaudited Interim Consolidated Financial Information—</w:t>
      </w:r>
      <w:r>
        <w:rPr>
          <w:rFonts w:ascii="Arial" w:cs="Arial" w:eastAsia="Arial" w:hAnsi="Arial"/>
          <w:sz w:val="16"/>
          <w:szCs w:val="16"/>
          <w:color w:val="auto"/>
        </w:rPr>
        <w:t>The accompanying interim consolidated balance sheet as of September 30, 2021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statements of operations and comprehensive income (loss), redeemable convertible preferred stock and stockholders’ equity (deficit), and cash flows for the nine months ended September 30, 2020 and 2021, and the related notes to such interim consolidated financial statements are unaudited. These unaudited interim consolidated financial statements are presented in accordance with the rules and regulations of the U.S. Securities and Exchange Commission and do not include all disclosures normally required in annual consolidated financial statements prepared in accordance with GAAP. In management’s opinion, the unaudited interim consolidated financial statements have been prepared on the same basis as the annual financial statements and reflect all adjustments necessary to state fairly the Company’s financial position as of September 30, 2021 and the Company’s results of operations and cash flows for the nine months ended September 30, 2020 and 2021. The results for the nine months ended September 30, 2021 are not necessarily indicative of the results expected for the full year ending December 31, 2021 or any future period.</w:t>
      </w:r>
    </w:p>
    <w:p>
      <w:pPr>
        <w:spacing w:after="0" w:line="11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Reverse Stock Split</w:t>
      </w:r>
      <w:r>
        <w:rPr>
          <w:rFonts w:ascii="Arial" w:cs="Arial" w:eastAsia="Arial" w:hAnsi="Arial"/>
          <w:sz w:val="18"/>
          <w:szCs w:val="18"/>
          <w:color w:val="auto"/>
        </w:rPr>
        <w:t>—On October 17, 2021 and October 18, 2021, the Company’s Board of Directors and stockholders, respectively, approved a one-for-two reverse stock split of the Company’s common and preferred stock which was effectuated on October 20, 2021 upon the Company’s filing of an amended and restated certificate of incorporation with the Delaware Secretary of State. As a result, each stockholder of record on October 20, 2021 received one share of common or preferred stock for every two shares held on the record date. All share, equity award, and per share amounts presented herein have been retroactively adjusted to reflect this reverse stock split.</w:t>
      </w:r>
    </w:p>
    <w:p>
      <w:pPr>
        <w:spacing w:after="0" w:line="129"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Segments—</w:t>
      </w:r>
      <w:r>
        <w:rPr>
          <w:rFonts w:ascii="Arial" w:cs="Arial" w:eastAsia="Arial" w:hAnsi="Arial"/>
          <w:sz w:val="16"/>
          <w:szCs w:val="16"/>
          <w:color w:val="auto"/>
        </w:rPr>
        <w:t>Operating segments are defined as components of an enterprise for which discrete financial information is available that is reviewed</w:t>
      </w:r>
      <w:r>
        <w:rPr>
          <w:rFonts w:ascii="Arial" w:cs="Arial" w:eastAsia="Arial" w:hAnsi="Arial"/>
          <w:sz w:val="16"/>
          <w:szCs w:val="16"/>
          <w:b w:val="1"/>
          <w:bCs w:val="1"/>
          <w:color w:val="auto"/>
        </w:rPr>
        <w:t xml:space="preserve"> </w:t>
      </w:r>
      <w:r>
        <w:rPr>
          <w:rFonts w:ascii="Arial" w:cs="Arial" w:eastAsia="Arial" w:hAnsi="Arial"/>
          <w:sz w:val="16"/>
          <w:szCs w:val="16"/>
          <w:color w:val="auto"/>
        </w:rPr>
        <w:t>regularly by the Chief Operating Decision Maker (“CODM”) in deciding how to allocate resources and in assessing performance. The Company’s CODM is its Chief Executive Officer, who reviews financial information presented on a consolidated basis for purposes of allocating resources and evaluating financial performance. As a result, the Company has concluded that it has one operating segment. During the years ended December 31, 2020 and 2019 and the nine months ended September 30, 2021 (unaudited), significantly all of the Company’s revenue was from customers located in the United States.</w:t>
      </w:r>
    </w:p>
    <w:p>
      <w:pPr>
        <w:spacing w:after="0" w:line="10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amounts reported in the consolidated financial statements and accompanying notes. Significant estimates and assumptions made by management include determination of stock-based compensation, valuation of embedded derivative, capitalization of software development costs, valuation of contingent consideration, valuation of goodwill and intangible assets, determination of associated useful lives of intangible assets and valuation of deferred tax assets. Management bases its estimates on historical experience and also on assumptions that it believes are reasonable.</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2020, the World Health Organization declared the outbreak of the novel coronavirus disease (“COVID–19”) a pandemic. As a result, the Company experienced lower growth in 2020 as compared to 2019, particularly in the second half of the year. While the Company may continue to experience an adverse impact on certain parts of its business, the Company’s results of operations, cash flows, and financial condition have not been significantly adversely impacted to date. The global impact of COVID-19 continues to rapidly evolve, and the Company will continue to monitor the situation and the effects on its business and operations closely. The Company does not yet know the full extent of potential impacts on its business or operations or on the global economy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F-10</w:t>
      </w:r>
    </w:p>
    <w:p>
      <w:pPr>
        <w:sectPr>
          <w:pgSz w:w="11900" w:h="16838" w:orient="portrait"/>
          <w:cols w:equalWidth="0" w:num="1">
            <w:col w:w="11240"/>
          </w:cols>
          <w:pgMar w:left="320" w:top="175" w:right="339" w:bottom="1440" w:gutter="0" w:footer="0" w:header="0"/>
        </w:sectPr>
      </w:pPr>
    </w:p>
    <w:bookmarkStart w:id="170" w:name="page171"/>
    <w:bookmarkEnd w:id="170"/>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whole, particularly if the COVID-19 pandemic continues and persists for an extended period of time. As of the date of issuance of the consolidated financial statements, the Company is not aware of any specific event or circumstance that would require it to update its estimates, judgments or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130"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Concentrations of Credit Risk—</w:t>
      </w:r>
      <w:r>
        <w:rPr>
          <w:rFonts w:ascii="Arial" w:cs="Arial" w:eastAsia="Arial" w:hAnsi="Arial"/>
          <w:sz w:val="17"/>
          <w:szCs w:val="17"/>
          <w:color w:val="auto"/>
        </w:rPr>
        <w:t>Financial instruments that potentially subject the Company to concentrations of credit risk consist primarily of cash</w:t>
      </w:r>
      <w:r>
        <w:rPr>
          <w:rFonts w:ascii="Arial" w:cs="Arial" w:eastAsia="Arial" w:hAnsi="Arial"/>
          <w:sz w:val="17"/>
          <w:szCs w:val="17"/>
          <w:b w:val="1"/>
          <w:bCs w:val="1"/>
          <w:color w:val="auto"/>
        </w:rPr>
        <w:t xml:space="preserve"> </w:t>
      </w:r>
      <w:r>
        <w:rPr>
          <w:rFonts w:ascii="Arial" w:cs="Arial" w:eastAsia="Arial" w:hAnsi="Arial"/>
          <w:sz w:val="17"/>
          <w:szCs w:val="17"/>
          <w:color w:val="auto"/>
        </w:rPr>
        <w:t>and cash equivalents and accounts receivable. The Company deposits cash with high credit quality financial institutions. All noninterest-bearing accounts are fully insured regardless of the balance of the account. This coverage is available at all FDIC member institutions. The Company uses Silicon Valley Bank, which is an FDIC insured institution. Based on these facts, collectability of bank balances appears to be adequately assured.</w:t>
      </w:r>
    </w:p>
    <w:p>
      <w:pPr>
        <w:spacing w:after="0" w:line="1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generally does not require collateral or other security in support of accounts receivable. Allowances will be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broader factors in evaluating the sufficiency or necessity of an allowance for doubtful accounts, including the length of time receivables are past due, significant onetime events, and historical experience.</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As of December 31, 2019, the Company had two customers which accounted for 13% and 12% of total accounts receivable, and three customers which accounted for 18%, 11%, and 10% of revenue during the year ended December 31, 2019. As of December 31, 2020, the Company had one customer which accounted for 12% of total accounts receivable, and no customer accounted for more than 10% of revenue during the year ended December 31, 2020. As of September 30, 2020 (unaudited), the Company had three customers which accounted for 13%, 11%, and 10%, of total accounts receivable, and no customer which accounted for more than 10% of revenue during the nine months ended September 30, 2020 (unaudited). As of September 30, 2021 (unaudited), the Company had two customers which each accounted for 13% and 10% of total accounts receivable, and no customer which accounted for more than 10% of revenue during the nine months ended September 30, 2021 (unaudited). Under Financial Accounting Standards Board (“FASB”) Accounting Standards Codification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Company’s customers are considered to be banks, credit card issuers, lenders, investment brokers and other entities for which the Company posts links on its website for agreed-upon commissionable programs.</w:t>
      </w:r>
    </w:p>
    <w:p>
      <w:pPr>
        <w:spacing w:after="0" w:line="10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Foreign Currency Transactions—</w:t>
      </w:r>
      <w:r>
        <w:rPr>
          <w:rFonts w:ascii="Arial" w:cs="Arial" w:eastAsia="Arial" w:hAnsi="Arial"/>
          <w:sz w:val="17"/>
          <w:szCs w:val="17"/>
          <w:color w:val="auto"/>
        </w:rPr>
        <w:t>The functional currency of the Company’s foreign subsidiaries is the respective local currency. All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accounts of the Company’s foreign subsidiaries are translated into U.S. dollars using the exchange rate on the balance sheet date. Equity transactions are translated using historical exchange rates. Revenues and expenses are translated at average rates prevailing throughout the period. Translation adjustments are included as a separate component on the consolidated statements of operations and comprehensive income (loss), and in the “Effect of exchange rate changes on cash and cash equivalents,” on the consolidated statements of cash flows. Transaction gains and losses including intercompany transactions denominated in a currency other than the functional currency of the entity involved are included in “Other gains (losses), net” on our consolidated statements of operations and comprehensive income (loss) and were immaterial for all periods presented.</w:t>
      </w:r>
    </w:p>
    <w:p>
      <w:pPr>
        <w:spacing w:after="0" w:line="11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and cash equivalents include on demand deposits and money market funds with banks that have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maturities at the date of purchase of less than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F-11</w:t>
      </w:r>
    </w:p>
    <w:p>
      <w:pPr>
        <w:sectPr>
          <w:pgSz w:w="11900" w:h="16838" w:orient="portrait"/>
          <w:cols w:equalWidth="0" w:num="1">
            <w:col w:w="11240"/>
          </w:cols>
          <w:pgMar w:left="320" w:top="162" w:right="339" w:bottom="1440" w:gutter="0" w:footer="0" w:header="0"/>
        </w:sectPr>
      </w:pPr>
    </w:p>
    <w:bookmarkStart w:id="171" w:name="page172"/>
    <w:bookmarkEnd w:id="171"/>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Fair Value Measurements—</w:t>
      </w:r>
      <w:r>
        <w:rPr>
          <w:rFonts w:ascii="Arial" w:cs="Arial" w:eastAsia="Arial" w:hAnsi="Arial"/>
          <w:sz w:val="17"/>
          <w:szCs w:val="17"/>
          <w:color w:val="auto"/>
        </w:rPr>
        <w:t>The Company determines fair value based upon the exit price that would be received to sell an asset or paid to transfer a</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(unadjusted) in active markets that are accessible at the measurement date for identical assets or liabilities. The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hierarchy gives the highest priority to Level 1 inputs.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quoted prices included within Level 1, including quoted prices for similar assets or liabilities in active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quoted prices for identical or similar assets or liabilities in markets that are not active; and inputs other than quoted prices that are observable or are derived principally from, or corroborated by, observable market data by correlation or other means.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—Unobservable inputs are used when little or no market data is available. The fair value hierarchy gives the lowest priority to Level 3 inputs.</w:t>
      </w:r>
    </w:p>
    <w:p>
      <w:pPr>
        <w:spacing w:after="0" w:line="1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Trade Accounts Receivable</w:t>
      </w:r>
      <w:r>
        <w:rPr>
          <w:rFonts w:ascii="Arial" w:cs="Arial" w:eastAsia="Arial" w:hAnsi="Arial"/>
          <w:sz w:val="18"/>
          <w:szCs w:val="18"/>
          <w:color w:val="auto"/>
        </w:rPr>
        <w:t>—Trade accounts receivable are recorded at the invoiced amount or amounts due from customers via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at the end of each month. Invoiced amounts do not bear interest. The Company determines the allowance for doubtful accounts by considering a number of factors, including the length of time accounts receivable are past due, previous loss history and the specific customer’s current ability to pay its obligation. Accounts receivable is past due when they are outstanding longer than the contractual payment terms. The allowance for doubtful accounts was not material as of December 31, 2019 and 2020 and September 30, 2021 (unaudited). The Company does not have any off-balance-sheet credit exposure related to its customers.</w:t>
      </w:r>
    </w:p>
    <w:p>
      <w:pPr>
        <w:spacing w:after="0" w:line="133"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Property, Equipment, and Software, Net</w:t>
      </w:r>
      <w:r>
        <w:rPr>
          <w:rFonts w:ascii="Arial" w:cs="Arial" w:eastAsia="Arial" w:hAnsi="Arial"/>
          <w:sz w:val="16"/>
          <w:szCs w:val="16"/>
          <w:color w:val="auto"/>
        </w:rPr>
        <w:t>—Property, equipment, and software are stated at cost, less accumulated depreciation and amortization.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Depreciation is computed using the straight-line method over the estimated useful lives of the respective assets, which are generally three years for computers and equipment, three years for software, and five years for furniture and fixtures. Leasehold improvements are amortized using the straight-line method over the shorter of the estimated useful lives of the assets or the term of the related lease. Expenditures for repairs and maintenance are charged to expense as incurred. Upon disposition or retirement, the cost and related accumulated depreciation are removed from the accounts and the resulting gain or loss, if any, is reflected as operating expenses in the consolidated statements of operations and comprehensive income (loss).</w:t>
      </w:r>
    </w:p>
    <w:p>
      <w:pPr>
        <w:spacing w:after="0" w:line="106"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Deferred Offering Costs</w:t>
      </w:r>
      <w:r>
        <w:rPr>
          <w:rFonts w:ascii="Arial" w:cs="Arial" w:eastAsia="Arial" w:hAnsi="Arial"/>
          <w:sz w:val="16"/>
          <w:szCs w:val="16"/>
          <w:color w:val="auto"/>
        </w:rPr>
        <w:t>—The Company capitalizes certain legal, professional accounting and other third-party fees that are directly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in-process equity financings as deferred offering costs until such financing is consummated. After consummation of the financing, these costs are recorded in stockholders’ equity as a reduction of the proceeds received as a result of the offering. Should a planned equity financing be abandoned, the deferred offering costs will be expensed immediately as a charge to operating expenses in the statements of operations. The Company recorded deferred offering costs of $3.4 million as of September 30, 2021 (unaudited), which is a noncurrent asset included in other assets in the consolidated balance sheet. There were no deferred offering costs capitalized as of December 31, 2019, and immaterial deferred offering costs capitalized as of December 31, 2020.</w:t>
      </w:r>
    </w:p>
    <w:p>
      <w:pPr>
        <w:spacing w:after="0" w:line="10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Capitalized Software Development Costs</w:t>
      </w:r>
      <w:r>
        <w:rPr>
          <w:rFonts w:ascii="Arial" w:cs="Arial" w:eastAsia="Arial" w:hAnsi="Arial"/>
          <w:sz w:val="18"/>
          <w:szCs w:val="18"/>
          <w:color w:val="auto"/>
        </w:rPr>
        <w:t>—The costs incurred in the preliminary stages of website and software development are expensed as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Once an application has reached the development stage, internal and external costs, if direct and incremental and deemed by management to be significant, are capitalized in property and equipment and amortized on a straight-line basis over their estimated useful lives. Maintenance, training and enhancement costs, including those costs in the post-implementation stages, are typically expensed as incurred, unless such costs relate to substantial upgrades and enhancements to the website or software that result in added functionality, in which case the costs are capitalized and amortized on a straight-line basis over the estimated useful lives.</w:t>
      </w:r>
    </w:p>
    <w:p>
      <w:pPr>
        <w:spacing w:after="0" w:line="1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Capitalized development activities placed in service are amortized over the expected useful lives of those releases, currently estimated at one to five years. The estimated useful lives of website and software development activities are reviewed frequently and adjusted as appropriate to reflect upcoming development activities that may include significant upgrades and/or enhancements to the existing functionality.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F-12</w:t>
      </w:r>
    </w:p>
    <w:p>
      <w:pPr>
        <w:sectPr>
          <w:pgSz w:w="11900" w:h="16838" w:orient="portrait"/>
          <w:cols w:equalWidth="0" w:num="1">
            <w:col w:w="11240"/>
          </w:cols>
          <w:pgMar w:left="320" w:top="162" w:right="339" w:bottom="1440" w:gutter="0" w:footer="0" w:header="0"/>
        </w:sectPr>
      </w:pPr>
    </w:p>
    <w:bookmarkStart w:id="172" w:name="page173"/>
    <w:bookmarkEnd w:id="172"/>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capitalized $15.2 million and $19.2 million of software development costs, and recorded amortization expense of $8.2 million and $12.5 million, during the years ended December 31, 2019 and 2020, respectively. The Company capitalized $14.3 million and $17.7 million of software development costs, and recorded amortization expense of $8.9 million and $12.2 million, during the nine months ended September 30, 2020 and 2021 (unaudited), respectively. Amortization expense is included within cost of revenue in the consolidated statements of operations and comprehensive income (loss).</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 The Company recognizes identifiable assets acquired and liabilities assumed at their acquisition date fair value. Goodwill</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acquisition date is measured as the excess of consideration transferred over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to the extent that the Company identifies adjustments to the preliminary purchase price allocation. Upon the conclusion of the measurement period or final determination of the values of assets acquired or liabilities assumed, whichever comes first, any subsequent adjustments are recorded to the Company’s consolidated statements of operations and comprehensive income (loss). As of December 31, 2020 and September 30, 2021 (unaudited), the Company has not recorded material measurement period adjustments in connection with its business combinations.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 xml:space="preserve">Contingent Consideration </w:t>
      </w:r>
      <w:r>
        <w:rPr>
          <w:rFonts w:ascii="Arial" w:cs="Arial" w:eastAsia="Arial" w:hAnsi="Arial"/>
          <w:sz w:val="18"/>
          <w:szCs w:val="18"/>
          <w:color w:val="auto"/>
        </w:rPr>
        <w:t>— The fair value measurements of contingent consideration liabilities established in connection with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combinations are determined as of the acquisition date based on significant unobservable inputs, including forecasted revenues and costs of the acquired companies, the probability of meeting certain revenue or earnings targets defined in the merger agreements, and the discount rate. Contingent consideration liabilities are remeasured to fair value at each subsequent reporting date until the related contingency is resolved. Changes to the fair value of the contingent consideration liabilities can result from changes to one or a number of inputs, including discount rates, the probabilities of achieving the milestones, the time required to achieve the milestones and estimated future sales. Significant judgment is employed in determining the appropriateness of these inputs. Changes to the inputs described above could have a material impact on the Company’s financial position and results of operations in any given period.</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Goodwill</w:t>
      </w:r>
      <w:r>
        <w:rPr>
          <w:rFonts w:ascii="Arial" w:cs="Arial" w:eastAsia="Arial" w:hAnsi="Arial"/>
          <w:sz w:val="17"/>
          <w:szCs w:val="17"/>
          <w:color w:val="auto"/>
        </w:rPr>
        <w:t>—The Company evaluates goodwill for impairment annually or more frequently when an event occurs or circumstances change that indicate</w:t>
      </w:r>
      <w:r>
        <w:rPr>
          <w:rFonts w:ascii="Arial" w:cs="Arial" w:eastAsia="Arial" w:hAnsi="Arial"/>
          <w:sz w:val="17"/>
          <w:szCs w:val="17"/>
          <w:b w:val="1"/>
          <w:bCs w:val="1"/>
          <w:color w:val="auto"/>
        </w:rPr>
        <w:t xml:space="preserve"> </w:t>
      </w:r>
      <w:r>
        <w:rPr>
          <w:rFonts w:ascii="Arial" w:cs="Arial" w:eastAsia="Arial" w:hAnsi="Arial"/>
          <w:sz w:val="17"/>
          <w:szCs w:val="17"/>
          <w:color w:val="auto"/>
        </w:rPr>
        <w:t>the carrying value may not be recoverable. The Company may elect to utilize a qualitative assessment to evaluate whether it is more likely than not that the fair value of a reporting unit is less than its carrying value and if so, the quantitative test is performed. The Company compares the carrying value of each reporting unit to its estimated fair value and if the fair value is determined to be less than the carrying value, we recognize an impairment loss for the difference. In accordance with accounting standards, for its annual impairment test for 2019 and 2020, the Company performed a qualitative assessment to determine whether it was necessary to test goodwill for impairment by performing the quantitative first step of the goodwill impairment process. Qualitative factors considered in this assessment include industry and market considerations, overall financial performance and other relevant events and factors affecting its single reporting unit. Based on the qualitative assessment in 2019 and 2020, the Company determined it was not more likely than not that the fair value of its single reporting unit was less than its carrying amount, and therefore no further analysis was needed. During the nine months ended September 30, 2021 (unaudited), there were no events or circumstances that would indicate that goodwill was impaired, and thus no interim goodwill impairment test was deemed necessary.</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Intangible Assets</w:t>
      </w:r>
      <w:r>
        <w:rPr>
          <w:rFonts w:ascii="Arial" w:cs="Arial" w:eastAsia="Arial" w:hAnsi="Arial"/>
          <w:sz w:val="18"/>
          <w:szCs w:val="18"/>
          <w:color w:val="auto"/>
        </w:rPr>
        <w:t>—Intangible assets include acquired intangible assets identified through business combinations, which are carried at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fair value recorded upon acquisition less accumulated amortization, and purchased intangible assets, which are carried at cost less accumulated amortization. Intangible assets are amortized on a straight-line basis over their estimated useful lives. Amortization costs for developed technology is included in cost of revenue and amortization for customer relationships, trade names and user base are included in sales and marketing within the consolidated statements of operations and comprehensive income (loss). Intangible assets are reviewed for impairment whenever events or changes in circumstances indicate that the carrying amount of the asset may not be recoverable. There was no impairment of intangible assets recorded for the years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F-13</w:t>
      </w:r>
    </w:p>
    <w:p>
      <w:pPr>
        <w:sectPr>
          <w:pgSz w:w="11900" w:h="16838" w:orient="portrait"/>
          <w:cols w:equalWidth="0" w:num="1">
            <w:col w:w="11240"/>
          </w:cols>
          <w:pgMar w:left="320" w:top="162" w:right="339" w:bottom="1440" w:gutter="0" w:footer="0" w:header="0"/>
        </w:sectPr>
      </w:pPr>
    </w:p>
    <w:bookmarkStart w:id="173" w:name="page174"/>
    <w:bookmarkEnd w:id="173"/>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December 31, 2019 and 2020, or for the nine months ended September 30, 2021 (unaudited). Refer to Note 6 – Goodwill and Intangible Assets for useful lives.</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Impairment of Long-Lived Assets</w:t>
      </w:r>
      <w:r>
        <w:rPr>
          <w:rFonts w:ascii="Arial" w:cs="Arial" w:eastAsia="Arial" w:hAnsi="Arial"/>
          <w:sz w:val="17"/>
          <w:szCs w:val="17"/>
          <w:color w:val="auto"/>
        </w:rPr>
        <w:t>—The Company reviews long-lived assets, including property and equipment, capitalized software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costs, and intangible assets, for impairment whenever events or changes in circumstances indicate that the carrying amount of an asset or asset group may not be recoverable. Recoverability of assets or asset groups to be held and used is measured first by a comparison of the carrying amount of an asset or asset group to future undiscounted net cash flows expected to be generated by the asset or asset group. If such assets or asset group are considered to be impaired, an impairment loss would be recognized based on the excess of the carrying amount of the asset above the fair value of the asset or asset group. The Company recorded $1.1 million and $0.2 million of impairment charges related to internal use software development for the years ended December 31, 2019 and 2020, respectively. The Company recorded $0.2 million and $0.8 million of impairment charges related to internal use software development for the nine months ended September 30, 2020 and 2021 (unaudited), respectively.</w:t>
      </w:r>
    </w:p>
    <w:p>
      <w:pPr>
        <w:spacing w:after="0" w:line="11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generates substantially all its revenue through fees paid by our financial services partners in the form of either</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per action, revenue per click, revenue per lead, and revenue per funded loan arrangements. For these revenue arrangements, in which a partner pays only when a consumer satisfies the criteria set forth within the arrangement, revenue is recognized generally when the Company matches the consumer with the financial services partner. For some of the Company’s arrangements, the transaction price is considered variable and an estimate of the transaction price is recorded when the match occurs.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recognizes revenue in accordance with ASC 606, Revenue from Contracts with Customers. Revenue is recognized when performance obligations under the terms of a contract with a customer are satisfied and promised goods and services have transferred to the customer, in an amount that reflects the consideration we expect to be entitled to in exchange for those goods or services.</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revenue generated from revenue per action or revenue per funded loan arrangements in which fees are earned from customers for approved actions such as when credit cards are issued to consumers or when loans to consumers are funded, the Company’s contractual right to fees is not contemporaneous with the satisfaction of the performance obligation to match the consumer with the customer. As such, the Company records a contract asset at each reporting period-end related to the estimated variable consideration on fees for which the Company has satisfied the related performance obligation but are still pending the financial product approval before the Company has a contractual right to payment. This estimate is based on the Company's historical closing rates and historical time between when a consumer request for a financial product is delivered to the customer and when the financial product is approved by the customer. The time between satisfaction of the Company’s performance obligation and when the Company's right to consideration becomes unconditional is generally less than 90 days and no significant judgment is required in determining whether the estimate of variable consideration should be constrained.</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revenue generated from revenue per lead or revenue per click in which fees are earned from customers when a consumer clicks on a tagged link to the customer’s website or lead is delivered to the customer, the Company’s contractual right to fees is contemporaneous with the satisfaction of the performance obligation to match the consumer with the customer. The Company’s services are generally transferred to the customer at a point in time, when the performance obligation is met.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payment terms vary by customer and verticals. The term between invoicing and when payment is due is generally 30 days or less.</w:t>
      </w:r>
    </w:p>
    <w:p>
      <w:pPr>
        <w:spacing w:after="0" w:line="16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Cost of Revenue</w:t>
      </w:r>
      <w:r>
        <w:rPr>
          <w:rFonts w:ascii="Arial" w:cs="Arial" w:eastAsia="Arial" w:hAnsi="Arial"/>
          <w:sz w:val="18"/>
          <w:szCs w:val="18"/>
          <w:color w:val="auto"/>
        </w:rPr>
        <w:t>—Cost of revenue consists primarily of amortization expense and impairment charges associated with capitalized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costs and developed technology, credit scoring fees and account linking fees</w:t>
      </w:r>
      <w:r>
        <w:rPr>
          <w:rFonts w:ascii="Arial" w:cs="Arial" w:eastAsia="Arial" w:hAnsi="Arial"/>
          <w:sz w:val="18"/>
          <w:szCs w:val="18"/>
          <w:b w:val="1"/>
          <w:bCs w:val="1"/>
          <w:color w:val="auto"/>
        </w:rPr>
        <w:t>,</w:t>
      </w:r>
      <w:r>
        <w:rPr>
          <w:rFonts w:ascii="Arial" w:cs="Arial" w:eastAsia="Arial" w:hAnsi="Arial"/>
          <w:sz w:val="18"/>
          <w:szCs w:val="18"/>
          <w:color w:val="auto"/>
        </w:rPr>
        <w:t xml:space="preserve"> and third-party data center costs.</w:t>
      </w:r>
    </w:p>
    <w:p>
      <w:pPr>
        <w:spacing w:after="0" w:line="10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Research and Development</w:t>
      </w:r>
      <w:r>
        <w:rPr>
          <w:rFonts w:ascii="Arial" w:cs="Arial" w:eastAsia="Arial" w:hAnsi="Arial"/>
          <w:sz w:val="18"/>
          <w:szCs w:val="18"/>
          <w:color w:val="auto"/>
        </w:rPr>
        <w:t>—Research and development expenses primarily consist of personnel related costs, technology and facility-related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and contractor expense for our engineering, product management, data and other personnel engaged in maintaining and enhancing the functionality of our platform. Research and development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F-14</w:t>
      </w:r>
    </w:p>
    <w:p>
      <w:pPr>
        <w:sectPr>
          <w:pgSz w:w="11900" w:h="16838" w:orient="portrait"/>
          <w:cols w:equalWidth="0" w:num="1">
            <w:col w:w="11240"/>
          </w:cols>
          <w:pgMar w:left="320" w:top="162" w:right="339" w:bottom="1440" w:gutter="0" w:footer="0" w:header="0"/>
        </w:sectPr>
      </w:pPr>
    </w:p>
    <w:bookmarkStart w:id="174" w:name="page175"/>
    <w:bookmarkEnd w:id="174"/>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Sales and Marketing</w:t>
      </w:r>
      <w:r>
        <w:rPr>
          <w:rFonts w:ascii="Arial" w:cs="Arial" w:eastAsia="Arial" w:hAnsi="Arial"/>
          <w:sz w:val="18"/>
          <w:szCs w:val="18"/>
          <w:color w:val="auto"/>
        </w:rPr>
        <w:t>—Sales and marketing expenses include advertising and promotion costs, costs related to brand campaign fees,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operations team, and editorial personnel and related costs, including stock-based compensation.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Leases</w:t>
      </w:r>
      <w:r>
        <w:rPr>
          <w:rFonts w:ascii="Arial" w:cs="Arial" w:eastAsia="Arial" w:hAnsi="Arial"/>
          <w:sz w:val="17"/>
          <w:szCs w:val="17"/>
          <w:color w:val="auto"/>
        </w:rPr>
        <w:t>—The Company leases real estate facilities and general office equipment under operating leases expiring at various dates through 2029.</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February 2016, the FASB issued Accounting Standards Update (“ASU”) No. 2016-02, Leases (“Topic 842”), which supersedes previous lease accounting guidance (“Topic 840”). The new guidance requires lessees to recognize certain leases as operating lease right-of-use (“ROU”) assets, with corresponding lease liabilities on the balance sheet.</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adopted Topic 842 on January 1, 2019. For leases that commenced prior to January 1, 2019, the Company elected a package of practical expedients and has carried forward historical lease classification and assessment of whether expired or current contracts contain leases. The Company also elected the practical expedient to combine lease and nonlease components, and to keep leases with an initial term of 12 months or less off the balance sheet.</w:t>
      </w:r>
    </w:p>
    <w:p>
      <w:pPr>
        <w:spacing w:after="0" w:line="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ROU assets and lease liabilities are recognized at commencement date based on the present value of remaining lease payments over the lease term, which may include options to extend or terminate the lease when it is reasonably certain the Company will exercise such options. At inception of the lease, the Company is not reasonably certain that any available lease extensions or renewal terms will be exercised. For this purpose, the Company considered lease term and only payments that are fixed and determinable at the time of commencement. As most of the Company’s leases do not provide an implicit rate, the Company used the incremental borrowing rate based on the information available at commencement date in determining the present value of lease payments. When determining the incremental borrowing rates, the Company considered information including, but not limited to, the lease term, the Company’s credit rating and interest rates of similar debt instruments with comparable credit ratings. The Company’s lease agreements may contain variable costs such as common area maintenance, insurance, real estate taxes or other costs. Variable lease costs are expensed as incurred in the consolidated statements of operations and comprehensive income (loss).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Nonlease components that are not fixed are expensed as incurred as variable lease payments. The Company’s lease agreements generally do not contain any residual guarantees or restrictive covenants.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and finance leases are included in other assets, accrued and other current liabilities, and other liabilities-noncurrent in the consolidated balance sheets.</w:t>
      </w:r>
    </w:p>
    <w:p>
      <w:pPr>
        <w:spacing w:after="0" w:line="112"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Advertising Expenses</w:t>
      </w:r>
      <w:r>
        <w:rPr>
          <w:rFonts w:ascii="Arial" w:cs="Arial" w:eastAsia="Arial" w:hAnsi="Arial"/>
          <w:sz w:val="16"/>
          <w:szCs w:val="16"/>
          <w:color w:val="auto"/>
        </w:rPr>
        <w:t>—Advertising is expensed as incurred. Advertising expense was $86.7 million and $106.8 million for the years ended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2019 and 2020, respectively, and $83.7 million and $155.0 million for the nine months ended September 30, 2020 and 2021 (unaudited), respectively, and has been recorded in sales and marketing within the consolidated statements of operations and comprehensive income (loss).</w:t>
      </w:r>
    </w:p>
    <w:p>
      <w:pPr>
        <w:spacing w:after="0" w:line="8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color w:val="auto"/>
        </w:rPr>
        <w:t>— The Company measures compensation expense for all stock-based payment awards granted to employees,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and nonemployees, including restricted stock units (“RSUs”) and stock options, based on the estimated fair value of the awards on the date of grant. For RSUs, fair value is based on the fair value of our common stock on the grant date. For stock options, fair value is estimated using the Black-Scholes-Merton option pricing model. Stock-based compensation is recognized on a straight-line basis over the requisite service period. The requisite service period of the awards is generally the same as the vesting period. The Company recognizes forfeitures as they occur for equity awards with only a service condition, rather than estimate expected forfeitures, as permitted by ASU 2016-09.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F-15</w:t>
      </w:r>
    </w:p>
    <w:p>
      <w:pPr>
        <w:sectPr>
          <w:pgSz w:w="11900" w:h="16838" w:orient="portrait"/>
          <w:cols w:equalWidth="0" w:num="1">
            <w:col w:w="11240"/>
          </w:cols>
          <w:pgMar w:left="320" w:top="162" w:right="339" w:bottom="1440" w:gutter="0" w:footer="0" w:header="0"/>
        </w:sectPr>
      </w:pPr>
    </w:p>
    <w:bookmarkStart w:id="175" w:name="page176"/>
    <w:bookmarkEnd w:id="175"/>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Embedded Derivative</w:t>
      </w:r>
      <w:r>
        <w:rPr>
          <w:rFonts w:ascii="Arial" w:cs="Arial" w:eastAsia="Arial" w:hAnsi="Arial"/>
          <w:sz w:val="18"/>
          <w:szCs w:val="18"/>
          <w:color w:val="auto"/>
        </w:rPr>
        <w:t>—In January 2017, the Company issued subordinated promissory notes that contained an embedded derivative, see Note 7 –</w:t>
      </w:r>
      <w:r>
        <w:rPr>
          <w:rFonts w:ascii="Arial" w:cs="Arial" w:eastAsia="Arial" w:hAnsi="Arial"/>
          <w:sz w:val="18"/>
          <w:szCs w:val="18"/>
          <w:b w:val="1"/>
          <w:bCs w:val="1"/>
          <w:color w:val="auto"/>
        </w:rPr>
        <w:t xml:space="preserve"> </w:t>
      </w:r>
      <w:r>
        <w:rPr>
          <w:rFonts w:ascii="Arial" w:cs="Arial" w:eastAsia="Arial" w:hAnsi="Arial"/>
          <w:sz w:val="18"/>
          <w:szCs w:val="18"/>
          <w:color w:val="auto"/>
        </w:rPr>
        <w:t>Debt. At initial recognition, the Company recorded the embedded derivative on the consolidated balance sheet at its estimated fair value resulting in an embedded derivative contra-liability balance with an offsetting recognition of a debt premium. Both the embedded derivative and debt premium are classified together with the related subordinated promissory notes on the consolidated balance sheet. Embedded derivatives are subject to remeasurement at each balance sheet date, with changes in fair value recognized as a component of other gains (losses), net on the consolidated statement of operations and comprehensive income (loss). Premium recognized at initial recognition is amortized as a reduction to interest expense over the expected life of the related debt using the effective interest method.</w:t>
      </w:r>
    </w:p>
    <w:p>
      <w:pPr>
        <w:spacing w:after="0" w:line="13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accounts for income taxes under an asset and liability approach. Deferred income taxes reflect the impact of temporary</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differences between assets and liabilities recognized for financial reporting purposes and amounts recognized for income tax reporting purposes measured by applying currently enacted tax laws. A valuation allowance is provided when necessary to reduce deferred tax assets to an amount that is more likely than not to be realized. During the quarter ended September 30, 2021, the Company recorded a valuation allowance against the Company’s U.S. deferred tax assets of $13.2 million (unaudited).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to be sustained. Recognized income tax positions are measured at the largest amount that is greater than 50% likely to be realized. Changes in recognition or measurement are reflected in the period in which the change in judgment occurs.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uncertain tax positions in accordance with accounting standards on the basis of a two-step process whereby (1) a determination is made as to whether it is more likely than not that the tax positions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 The Company’s policy is to include interest and penalties within its provision for income taxes.</w:t>
      </w:r>
    </w:p>
    <w:p>
      <w:pPr>
        <w:spacing w:after="0" w:line="1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Comprehensive Income (Loss)</w:t>
      </w:r>
      <w:r>
        <w:rPr>
          <w:rFonts w:ascii="Arial" w:cs="Arial" w:eastAsia="Arial" w:hAnsi="Arial"/>
          <w:sz w:val="18"/>
          <w:szCs w:val="18"/>
          <w:color w:val="auto"/>
        </w:rPr>
        <w:t>—Comprehensive income (loss) is defined as a change in equity of a business enterprise during a period, resulting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transactions from non-owner sources. Comprehensive income (loss) is comprised of all components of net income (loss) and all components of other comprehensive income (loss) within stockholders’ equity. The Company’s other comprehensive income (loss) includes adjustments for foreign currency translation.</w:t>
      </w:r>
    </w:p>
    <w:p>
      <w:pPr>
        <w:spacing w:after="0" w:line="12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Subsequent Events</w:t>
      </w:r>
      <w:r>
        <w:rPr>
          <w:rFonts w:ascii="Arial" w:cs="Arial" w:eastAsia="Arial" w:hAnsi="Arial"/>
          <w:sz w:val="18"/>
          <w:szCs w:val="18"/>
          <w:color w:val="auto"/>
        </w:rPr>
        <w:t>—The Company evaluated subsequent events through the date its consolidated financial statements were issued. Refer to Notes 15</w:t>
      </w:r>
      <w:r>
        <w:rPr>
          <w:rFonts w:ascii="Arial" w:cs="Arial" w:eastAsia="Arial" w:hAnsi="Arial"/>
          <w:sz w:val="18"/>
          <w:szCs w:val="18"/>
          <w:b w:val="1"/>
          <w:bCs w:val="1"/>
          <w:color w:val="auto"/>
        </w:rPr>
        <w:t xml:space="preserve"> </w:t>
      </w:r>
      <w:r>
        <w:rPr>
          <w:rFonts w:ascii="Arial" w:cs="Arial" w:eastAsia="Arial" w:hAnsi="Arial"/>
          <w:sz w:val="18"/>
          <w:szCs w:val="18"/>
          <w:color w:val="auto"/>
        </w:rPr>
        <w:t>– Subsequent Events and 16 – Subsequent Events (Unaudited) for further discussion.</w:t>
      </w:r>
    </w:p>
    <w:p>
      <w:pPr>
        <w:spacing w:after="0" w:line="10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Recently Adopted Accounting Pronouncements</w:t>
      </w:r>
      <w:r>
        <w:rPr>
          <w:rFonts w:ascii="Arial" w:cs="Arial" w:eastAsia="Arial" w:hAnsi="Arial"/>
          <w:sz w:val="16"/>
          <w:szCs w:val="16"/>
          <w:color w:val="auto"/>
        </w:rPr>
        <w:t>—In December 2019, the FASB issued ASU 2019-12,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Income Taxes (Topic 740): Simplifying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which simplifies the accounting for income taxes by removing certain exceptions to the general principles in ASC Topic 740,</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Taxes, and clarifies certain aspects of the current guidance to improve consistency among reporting entities. The ASU is effective for the Company for annual reporting periods beginning after December 15, 2022. Early adoption is permitted. The Company early adopted ASU 2019-12 on January 1, 2020. The adoption of ASU 2019-12 did not have any impact on the consolidated financial statements as of and for the year ended December 31, 2020.</w:t>
      </w:r>
    </w:p>
    <w:p>
      <w:pPr>
        <w:spacing w:after="0" w:line="1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(Topic 350)</w:t>
      </w:r>
      <w:r>
        <w:rPr>
          <w:rFonts w:ascii="Arial" w:cs="Arial" w:eastAsia="Arial" w:hAnsi="Arial"/>
          <w:sz w:val="17"/>
          <w:szCs w:val="17"/>
          <w:color w:val="auto"/>
        </w:rPr>
        <w:t>. The standard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amendments should be applied either retrospectively or prospectively to all implementation costs incurred after the date of adoption. The ASU is effective for the Company for annual reporting periods beginning after December 15, 2020. Early adoption is permitted. The Company early adopted ASU 2018-15 on January 1, 2020 using the prospective approach. Subsequent to the adoption of this ASU, capitalizable implementation costs incurred in a hosting arrangement that is a service contract are recorded within prepaid and other current assets and other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F-16</w:t>
      </w:r>
    </w:p>
    <w:p>
      <w:pPr>
        <w:sectPr>
          <w:pgSz w:w="11900" w:h="16838" w:orient="portrait"/>
          <w:cols w:equalWidth="0" w:num="1">
            <w:col w:w="11240"/>
          </w:cols>
          <w:pgMar w:left="320" w:top="162" w:right="339" w:bottom="1440" w:gutter="0" w:footer="0" w:header="0"/>
        </w:sectPr>
      </w:pPr>
    </w:p>
    <w:bookmarkStart w:id="176" w:name="page177"/>
    <w:bookmarkEnd w:id="176"/>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 assets on the consolidated balance sheet. The expense related to these capitalized implementation costs are included within general and administrative expense on the consolidated statement of operations and comprehensive income (loss). The adoption of ASU 2015-15 did not have a material impact on the consolidated financial statement as of and for the year ended December 31, 2020.</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The standard removes, eliminates, adds and modifies certain disclosure requirements for fair value measurements in ASC Topic 820, Fair Value Measurement. This ASU is effective for fiscal years beginning after December 15, 2019, and early adoption is permitted. Entities are permitted to adopt any removed or modified disclosures and delay adoption of the additional disclosures until the effective date of the ASU. Certain amendments must be applied prospectively while others are to be applied on a retrospective basis to all periods presented. The Company adopted ASU 2018-13 on January 1, 2020, and the adoption of this guidance did not have a material impact on the Company’s consolidated financial statements. See Note 3 – Fair Value Measurements for further discussion.</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Other—Internal-Use Software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Impairment</w:t>
      </w:r>
      <w:r>
        <w:rPr>
          <w:rFonts w:ascii="Arial" w:cs="Arial" w:eastAsia="Arial" w:hAnsi="Arial"/>
          <w:sz w:val="18"/>
          <w:szCs w:val="18"/>
          <w:color w:val="auto"/>
        </w:rPr>
        <w:t>. The standard eliminates the requirement to calculate the implied fair value of goodwill to measure a goodwill impairment charge</w:t>
      </w:r>
      <w:r>
        <w:rPr>
          <w:rFonts w:ascii="Arial" w:cs="Arial" w:eastAsia="Arial" w:hAnsi="Arial"/>
          <w:sz w:val="18"/>
          <w:szCs w:val="18"/>
          <w:i w:val="1"/>
          <w:iCs w:val="1"/>
          <w:color w:val="auto"/>
        </w:rPr>
        <w:t xml:space="preserve"> </w:t>
      </w:r>
      <w:r>
        <w:rPr>
          <w:rFonts w:ascii="Arial" w:cs="Arial" w:eastAsia="Arial" w:hAnsi="Arial"/>
          <w:sz w:val="18"/>
          <w:szCs w:val="18"/>
          <w:color w:val="auto"/>
        </w:rPr>
        <w:t>(Step 2 of the goodwill impairment test), and will instead base an impairment charge on the excess of the carrying amount over the fair value. The ASU is effective for the Company for annual reporting periods beginning after December 15, 2022. Early adoption is permitted. The Company early adopted ASU 2017-04 on January 1, 2020. The adoption of ASU 2017-04 did not have a material impact on the consolidated financial statements as of and for the year ended December 31, 2020.</w:t>
      </w:r>
    </w:p>
    <w:p>
      <w:pPr>
        <w:spacing w:after="0" w:line="13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Recently Issued Accounting Pronouncements Not Yet Adopted</w:t>
      </w:r>
      <w:r>
        <w:rPr>
          <w:rFonts w:ascii="Arial" w:cs="Arial" w:eastAsia="Arial" w:hAnsi="Arial"/>
          <w:sz w:val="18"/>
          <w:szCs w:val="18"/>
          <w:color w:val="auto"/>
        </w:rPr>
        <w:t>—In March 2020, the FASB issued ASU 2020-04,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Reference Rate Reform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(Topic 848) </w:t>
      </w:r>
      <w:r>
        <w:rPr>
          <w:rFonts w:ascii="Arial" w:cs="Arial" w:eastAsia="Arial" w:hAnsi="Arial"/>
          <w:sz w:val="18"/>
          <w:szCs w:val="18"/>
          <w:color w:val="auto"/>
        </w:rPr>
        <w:t>(“ASU 2020-04”). ASU 2020-04 provides optional expedients and exceptions for a limited period of time for accounting for contracts,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and other transactions affected by the London Interbank Offered Rate (“LIBOR”) or another reference rate expected to be discontinued. Optional expedients can be applied from March 12, 2020 through December 31, 2022. The Company is currently evaluating the impact this ASU will have on its consolidated financial statements.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xml:space="preserve"> (“ASU 2016-13”). ASU 2016-13 requires the measurement and recognition of expected credit losses for financial assets held at amortized cost, and includes the Company’s accounts receivable, certain financial instruments and contract assets. ASU 2016-13 replaces the prior incurred loss impairment model with an expected loss methodology, which results in more timely recognition of credit losses. ASU 2016-13 is effective for the Company’s annual periods beginning after December 15, 2022, including interim periods within those fiscal years. The Company is currently evaluating the impact of ASU 2016-13 on its financial condition and results of operations.</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October 2020, the FASB issued ASU 2020-10,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xml:space="preserve"> (“ASU 2020-10”). ASU 2020-10 is intended to facilitate codification updates for technical corrections, such as conforming amendments, clarifications to guidance, simplifications to wording or structure of guidance, and other minor improvements. It contains amendments that improve the consistency of the codification by including all disclosure guidance in the appropriate disclosure section and other updates that varies in nature. ASU 2020-10 is effective for Company’s annual period beginning December 15, 2020. We do not anticipate a material impact on our consolidated financial statements and disclosures from adoption of this standard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F-17</w:t>
      </w:r>
    </w:p>
    <w:p>
      <w:pPr>
        <w:sectPr>
          <w:pgSz w:w="11900" w:h="16838" w:orient="portrait"/>
          <w:cols w:equalWidth="0" w:num="1">
            <w:col w:w="11240"/>
          </w:cols>
          <w:pgMar w:left="320" w:top="162" w:right="339" w:bottom="1440" w:gutter="0" w:footer="0" w:header="0"/>
        </w:sectPr>
      </w:pPr>
    </w:p>
    <w:bookmarkStart w:id="177" w:name="page178"/>
    <w:bookmarkEnd w:id="177"/>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presents a disaggregation of the Company’s revenue based on product category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6"/>
        </w:trPr>
        <w:tc>
          <w:tcPr>
            <w:tcW w:w="5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6"/>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Loans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7"/>
        </w:trPr>
        <w:tc>
          <w:tcPr>
            <w:tcW w:w="5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6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228.3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w:t>
            </w:r>
          </w:p>
        </w:tc>
      </w:tr>
      <w:tr>
        <w:trPr>
          <w:trHeight w:val="21"/>
        </w:trPr>
        <w:tc>
          <w:tcPr>
            <w:tcW w:w="5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December 31, 2019 and 2020 and September 30, 2021 (unaudited), the contract asset recorded within prepaid and other current assets on the consolidated balance sheets related to estimated variable consideration was $1.1 million, $1.2 million and $3.4 million, respectively.</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Credit cards revenue is primarily generated through revenue per action arrangements, Loans revenue is primarily generated through revenue per funded loan and revenue per lead arrangements, and Other verticals revenue is primarily generated through revenue per click and revenue per action arrangements.</w:t>
      </w:r>
    </w:p>
    <w:p>
      <w:pPr>
        <w:spacing w:after="0" w:line="126"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assets and liabilities that are measured at fair value on a recurring basis, by level, within the fair value hierarchy are summarized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540"/>
              <w:spacing w:after="0"/>
              <w:rPr>
                <w:sz w:val="20"/>
                <w:szCs w:val="20"/>
                <w:color w:val="auto"/>
              </w:rPr>
            </w:pPr>
            <w:r>
              <w:rPr>
                <w:rFonts w:ascii="Arial" w:cs="Arial" w:eastAsia="Arial" w:hAnsi="Arial"/>
                <w:sz w:val="14"/>
                <w:szCs w:val="14"/>
                <w:b w:val="1"/>
                <w:bCs w:val="1"/>
                <w:color w:val="auto"/>
              </w:rPr>
              <w:t>As of December 31, 2019</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3"/>
                <w:szCs w:val="13"/>
                <w:color w:val="auto"/>
              </w:rPr>
            </w:pPr>
          </w:p>
        </w:tc>
        <w:tc>
          <w:tcPr>
            <w:tcW w:w="1240" w:type="dxa"/>
            <w:vAlign w:val="bottom"/>
          </w:tcPr>
          <w:p>
            <w:pPr>
              <w:jc w:val="center"/>
              <w:ind w:right="139"/>
              <w:spacing w:after="0" w:line="160"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20" w:type="dxa"/>
            <w:vAlign w:val="bottom"/>
          </w:tcPr>
          <w:p>
            <w:pPr>
              <w:jc w:val="center"/>
              <w:ind w:left="320"/>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 Active</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Observable</w:t>
            </w:r>
          </w:p>
        </w:tc>
        <w:tc>
          <w:tcPr>
            <w:tcW w:w="20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20" w:type="dxa"/>
            <w:vAlign w:val="bottom"/>
          </w:tcPr>
          <w:p>
            <w:pPr>
              <w:jc w:val="center"/>
              <w:ind w:left="320"/>
              <w:spacing w:after="0"/>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020" w:type="dxa"/>
            <w:vAlign w:val="bottom"/>
          </w:tcPr>
          <w:p>
            <w:pPr>
              <w:jc w:val="center"/>
              <w:ind w:left="32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Cash and cash equivalents—money market funds</w:t>
            </w:r>
          </w:p>
        </w:tc>
        <w:tc>
          <w:tcPr>
            <w:tcW w:w="1020" w:type="dxa"/>
            <w:vAlign w:val="bottom"/>
          </w:tcPr>
          <w:p>
            <w:pPr>
              <w:jc w:val="right"/>
              <w:ind w:right="8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19.6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Embedded derivative</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020" w:type="dxa"/>
            <w:vAlign w:val="bottom"/>
            <w:tcBorders>
              <w:top w:val="single" w:sz="8" w:color="auto"/>
            </w:tcBorders>
          </w:tcPr>
          <w:p>
            <w:pPr>
              <w:jc w:val="right"/>
              <w:ind w:right="84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19.8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5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5"/>
          </w:tcPr>
          <w:p>
            <w:pPr>
              <w:ind w:left="540"/>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3"/>
                <w:szCs w:val="13"/>
                <w:color w:val="auto"/>
              </w:rPr>
            </w:pPr>
          </w:p>
        </w:tc>
        <w:tc>
          <w:tcPr>
            <w:tcW w:w="1240" w:type="dxa"/>
            <w:vAlign w:val="bottom"/>
          </w:tcPr>
          <w:p>
            <w:pPr>
              <w:jc w:val="center"/>
              <w:ind w:right="139"/>
              <w:spacing w:after="0" w:line="160"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20" w:type="dxa"/>
            <w:vAlign w:val="bottom"/>
          </w:tcPr>
          <w:p>
            <w:pPr>
              <w:jc w:val="center"/>
              <w:ind w:left="320"/>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 Active</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Observable</w:t>
            </w:r>
          </w:p>
        </w:tc>
        <w:tc>
          <w:tcPr>
            <w:tcW w:w="20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20" w:type="dxa"/>
            <w:vAlign w:val="bottom"/>
          </w:tcPr>
          <w:p>
            <w:pPr>
              <w:jc w:val="center"/>
              <w:ind w:left="320"/>
              <w:spacing w:after="0"/>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020" w:type="dxa"/>
            <w:vAlign w:val="bottom"/>
          </w:tcPr>
          <w:p>
            <w:pPr>
              <w:jc w:val="center"/>
              <w:ind w:left="32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Cash and cash equivalents—money market funds</w:t>
            </w:r>
          </w:p>
        </w:tc>
        <w:tc>
          <w:tcPr>
            <w:tcW w:w="1020" w:type="dxa"/>
            <w:vAlign w:val="bottom"/>
          </w:tcPr>
          <w:p>
            <w:pPr>
              <w:jc w:val="right"/>
              <w:ind w:right="8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19.7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Embedded derivative</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21.8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5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F-18</w:t>
      </w:r>
    </w:p>
    <w:p>
      <w:pPr>
        <w:sectPr>
          <w:pgSz w:w="11900" w:h="16838" w:orient="portrait"/>
          <w:cols w:equalWidth="0" w:num="1">
            <w:col w:w="11240"/>
          </w:cols>
          <w:pgMar w:left="320" w:top="175" w:right="339" w:bottom="1440" w:gutter="0" w:footer="0" w:header="0"/>
        </w:sectPr>
      </w:pPr>
    </w:p>
    <w:bookmarkStart w:id="178" w:name="page179"/>
    <w:bookmarkEnd w:id="178"/>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520"/>
              <w:spacing w:after="0"/>
              <w:rPr>
                <w:sz w:val="20"/>
                <w:szCs w:val="20"/>
                <w:color w:val="auto"/>
              </w:rPr>
            </w:pPr>
            <w:r>
              <w:rPr>
                <w:rFonts w:ascii="Arial" w:cs="Arial" w:eastAsia="Arial" w:hAnsi="Arial"/>
                <w:sz w:val="14"/>
                <w:szCs w:val="14"/>
                <w:b w:val="1"/>
                <w:bCs w:val="1"/>
                <w:color w:val="auto"/>
              </w:rPr>
              <w:t>As of September 30, 2021</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60"/>
        </w:trPr>
        <w:tc>
          <w:tcPr>
            <w:tcW w:w="5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2"/>
              </w:rPr>
              <w:t>Quoted Prices</w:t>
            </w:r>
          </w:p>
        </w:tc>
        <w:tc>
          <w:tcPr>
            <w:tcW w:w="340" w:type="dxa"/>
            <w:vAlign w:val="bottom"/>
          </w:tcPr>
          <w:p>
            <w:pPr>
              <w:spacing w:after="0"/>
              <w:rPr>
                <w:sz w:val="13"/>
                <w:szCs w:val="13"/>
                <w:color w:val="auto"/>
              </w:rPr>
            </w:pPr>
          </w:p>
        </w:tc>
        <w:tc>
          <w:tcPr>
            <w:tcW w:w="120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3"/>
                <w:szCs w:val="13"/>
                <w:color w:val="auto"/>
              </w:rPr>
            </w:pPr>
          </w:p>
        </w:tc>
        <w:tc>
          <w:tcPr>
            <w:tcW w:w="1240" w:type="dxa"/>
            <w:vAlign w:val="bottom"/>
          </w:tcPr>
          <w:p>
            <w:pPr>
              <w:jc w:val="center"/>
              <w:ind w:right="139"/>
              <w:spacing w:after="0" w:line="160" w:lineRule="exact"/>
              <w:rPr>
                <w:sz w:val="20"/>
                <w:szCs w:val="20"/>
                <w:color w:val="auto"/>
              </w:rPr>
            </w:pPr>
            <w:r>
              <w:rPr>
                <w:rFonts w:ascii="Arial" w:cs="Arial" w:eastAsia="Arial" w:hAnsi="Arial"/>
                <w:sz w:val="14"/>
                <w:szCs w:val="14"/>
                <w:b w:val="1"/>
                <w:bCs w:val="1"/>
                <w:color w:val="auto"/>
                <w:w w:val="92"/>
              </w:rPr>
              <w:t>Significant</w:t>
            </w:r>
          </w:p>
        </w:tc>
      </w:tr>
      <w:tr>
        <w:trPr>
          <w:trHeight w:val="162"/>
        </w:trPr>
        <w:tc>
          <w:tcPr>
            <w:tcW w:w="5200" w:type="dxa"/>
            <w:vAlign w:val="bottom"/>
          </w:tcPr>
          <w:p>
            <w:pPr>
              <w:spacing w:after="0"/>
              <w:rPr>
                <w:sz w:val="14"/>
                <w:szCs w:val="14"/>
                <w:color w:val="auto"/>
              </w:rPr>
            </w:pPr>
          </w:p>
        </w:tc>
        <w:tc>
          <w:tcPr>
            <w:tcW w:w="1020" w:type="dxa"/>
            <w:vAlign w:val="bottom"/>
          </w:tcPr>
          <w:p>
            <w:pPr>
              <w:jc w:val="center"/>
              <w:ind w:left="319"/>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 Active</w:t>
            </w:r>
          </w:p>
        </w:tc>
        <w:tc>
          <w:tcPr>
            <w:tcW w:w="3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Observable</w:t>
            </w:r>
          </w:p>
        </w:tc>
        <w:tc>
          <w:tcPr>
            <w:tcW w:w="20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5200" w:type="dxa"/>
            <w:vAlign w:val="bottom"/>
          </w:tcPr>
          <w:p>
            <w:pPr>
              <w:spacing w:after="0"/>
              <w:rPr>
                <w:sz w:val="14"/>
                <w:szCs w:val="14"/>
                <w:color w:val="auto"/>
              </w:rPr>
            </w:pPr>
          </w:p>
        </w:tc>
        <w:tc>
          <w:tcPr>
            <w:tcW w:w="1020" w:type="dxa"/>
            <w:vAlign w:val="bottom"/>
          </w:tcPr>
          <w:p>
            <w:pPr>
              <w:jc w:val="center"/>
              <w:ind w:left="319"/>
              <w:spacing w:after="0"/>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w:t>
            </w:r>
          </w:p>
        </w:tc>
        <w:tc>
          <w:tcPr>
            <w:tcW w:w="3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24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Inputs</w:t>
            </w:r>
          </w:p>
        </w:tc>
      </w:tr>
      <w:tr>
        <w:trPr>
          <w:trHeight w:val="186"/>
        </w:trPr>
        <w:tc>
          <w:tcPr>
            <w:tcW w:w="5200" w:type="dxa"/>
            <w:vAlign w:val="bottom"/>
          </w:tcPr>
          <w:p>
            <w:pPr>
              <w:spacing w:after="0"/>
              <w:rPr>
                <w:sz w:val="16"/>
                <w:szCs w:val="16"/>
                <w:color w:val="auto"/>
              </w:rPr>
            </w:pPr>
          </w:p>
        </w:tc>
        <w:tc>
          <w:tcPr>
            <w:tcW w:w="1020" w:type="dxa"/>
            <w:vAlign w:val="bottom"/>
          </w:tcPr>
          <w:p>
            <w:pPr>
              <w:jc w:val="center"/>
              <w:ind w:left="319"/>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1)</w:t>
            </w:r>
          </w:p>
        </w:tc>
        <w:tc>
          <w:tcPr>
            <w:tcW w:w="340" w:type="dxa"/>
            <w:vAlign w:val="bottom"/>
          </w:tcPr>
          <w:p>
            <w:pPr>
              <w:spacing w:after="0"/>
              <w:rPr>
                <w:sz w:val="16"/>
                <w:szCs w:val="16"/>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r>
      <w:tr>
        <w:trPr>
          <w:trHeight w:val="26"/>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Cash and cash equivalents—money market funds</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50.5</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tcPr>
          <w:p>
            <w:pPr>
              <w:spacing w:after="0"/>
              <w:rPr>
                <w:sz w:val="20"/>
                <w:szCs w:val="20"/>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52.5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46.7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46.7</w:t>
            </w:r>
          </w:p>
        </w:tc>
      </w:tr>
    </w:tbl>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recognizes transfers among Level 1, Level 2 and Level 3 classifications as of the actual date of the events or change in circumstances that caused the transfers. During the years ended December 31, 2019 and 2020 and the nine months ended September 30, 2021 (unaudited), the Company had no transfers of financial assets or liabilities between Level 1 and Level 2 or between Level 2 and Level 3 of the fair value hierarchy.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fair value of Level 3 assets and liabilities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353"/>
              <w:spacing w:after="0"/>
              <w:rPr>
                <w:sz w:val="20"/>
                <w:szCs w:val="20"/>
                <w:color w:val="auto"/>
              </w:rPr>
            </w:pPr>
            <w:r>
              <w:rPr>
                <w:rFonts w:ascii="Arial" w:cs="Arial" w:eastAsia="Arial" w:hAnsi="Arial"/>
                <w:sz w:val="14"/>
                <w:szCs w:val="14"/>
                <w:b w:val="1"/>
                <w:bCs w:val="1"/>
                <w:color w:val="auto"/>
              </w:rPr>
              <w:t>Contingent</w:t>
            </w:r>
          </w:p>
        </w:tc>
      </w:tr>
      <w:tr>
        <w:trPr>
          <w:trHeight w:val="186"/>
        </w:trPr>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Embedded Derivative</w:t>
            </w:r>
          </w:p>
        </w:tc>
        <w:tc>
          <w:tcPr>
            <w:tcW w:w="220" w:type="dxa"/>
            <w:vAlign w:val="bottom"/>
          </w:tcPr>
          <w:p>
            <w:pPr>
              <w:spacing w:after="0"/>
              <w:rPr>
                <w:sz w:val="16"/>
                <w:szCs w:val="16"/>
                <w:color w:val="auto"/>
              </w:rPr>
            </w:pP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rPr>
              <w:t>Consideration</w:t>
            </w:r>
          </w:p>
        </w:tc>
      </w:tr>
      <w:tr>
        <w:trPr>
          <w:trHeight w:val="26"/>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1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36.5</w:t>
            </w:r>
          </w:p>
        </w:tc>
      </w:tr>
      <w:tr>
        <w:trPr>
          <w:trHeight w:val="27"/>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earnings (unaudited)</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Other (unaudited)</w:t>
            </w:r>
          </w:p>
        </w:tc>
        <w:tc>
          <w:tcPr>
            <w:tcW w:w="10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2021 (unaudited)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change in fair value of the embedded derivative is recorded in other gains (losses), net within the consolidated statements of operations and comprehensive income (loss). The determination of the fair value of the Level 3 embedded derivative is discussed in Note 7 – Debt.</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Contingent consideration liabilities related to acquisitions are measured at fair value each reporting period using Level 3 unobservable inputs. The contingent consideration liability at December 31, 2020 and September 30, 2021 (unaudited) is the estimated fair value of the earnout payments for the Fundera, Inc. (“Fundera”) and Know Your Money (“KYM”) business combinations. See Note 5 – Business Combinations for additional information on the contingent consideration for each of the acquisitions.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fair values of the estimated contingent considerations are determined based on the Company’s evaluation of the probability and amount of earnout that will be achieved based on expected future performance by the acquired entity. The Monte Carlo simulation models simulated the applicable figures over the earnout periods to calculate the estimated earnout payments. These payments were then discounted to present value based on the expected payment dates of the contingent considerations. The weighted average volatilities fell within the range of 7.4% to 17.6% during the year ended December 31, 2020, and the weighted average discount rate was estimated to be approximately 1.2%, at December 31, 2020. The weighted average volatility was 39.0% and the weighted average discount rate was estimated to be approximately 8.0% at September 30,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F-19</w:t>
      </w:r>
    </w:p>
    <w:p>
      <w:pPr>
        <w:sectPr>
          <w:pgSz w:w="11900" w:h="16838" w:orient="portrait"/>
          <w:cols w:equalWidth="0" w:num="1">
            <w:col w:w="11240"/>
          </w:cols>
          <w:pgMar w:left="320" w:top="175" w:right="339" w:bottom="1440" w:gutter="0" w:footer="0" w:header="0"/>
        </w:sectPr>
      </w:pPr>
    </w:p>
    <w:bookmarkStart w:id="179" w:name="page180"/>
    <w:bookmarkEnd w:id="179"/>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CONSOLIDATED BALANCE SHEETS COMPONENTS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 consisted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Certificate of deposit</w:t>
            </w:r>
          </w:p>
        </w:tc>
        <w:tc>
          <w:tcPr>
            <w:tcW w:w="3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Tax receivable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72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340"/>
              <w:spacing w:after="0"/>
              <w:rPr>
                <w:sz w:val="20"/>
                <w:szCs w:val="20"/>
                <w:color w:val="auto"/>
              </w:rPr>
            </w:pPr>
            <w:r>
              <w:rPr>
                <w:rFonts w:ascii="Arial" w:cs="Arial" w:eastAsia="Arial" w:hAnsi="Arial"/>
                <w:sz w:val="18"/>
                <w:szCs w:val="18"/>
                <w:color w:val="auto"/>
              </w:rPr>
              <w:t>Property, equipment, and software, net consisted of the following (in millions):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Depreciation and amortization expense, inclusive of amortization of capitalized software development costs and intangible assets, for the years ended December 31, 2019 and 2020 and nine months ended September 30, 2021 (unaudited) was $9.4 million, $15.1 million and $19.9 million, respectively.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and other current liabilities consisted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September 30,</w:t>
            </w:r>
          </w:p>
        </w:tc>
      </w:tr>
      <w:tr>
        <w:trPr>
          <w:trHeight w:val="25"/>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2021</w:t>
            </w:r>
          </w:p>
        </w:tc>
      </w:tr>
      <w:tr>
        <w:trPr>
          <w:trHeight w:val="25"/>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(unaudited)</w:t>
            </w: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Unbilled accounts payable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related taxes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 related to earnouts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Asset retirement obligation</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64"/>
        </w:trPr>
        <w:tc>
          <w:tcPr>
            <w:tcW w:w="636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nine months ended September 30, 2021, the Company recorded a $1.2 million (unaudited) asset retirement obligation, with an offsetting related asset retirement cost in Property, equipment, and software – net, which relates to leased office space and is expected to be settled prior to December 31, 2021.</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F-20</w:t>
      </w:r>
    </w:p>
    <w:p>
      <w:pPr>
        <w:sectPr>
          <w:pgSz w:w="11900" w:h="16838" w:orient="portrait"/>
          <w:cols w:equalWidth="0" w:num="1">
            <w:col w:w="11240"/>
          </w:cols>
          <w:pgMar w:left="320" w:top="175" w:right="339" w:bottom="1440" w:gutter="0" w:footer="0" w:header="0"/>
          <w:type w:val="continuous"/>
        </w:sectPr>
      </w:pPr>
    </w:p>
    <w:bookmarkStart w:id="180" w:name="page181"/>
    <w:bookmarkEnd w:id="180"/>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liabilities—noncurrent consisted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September 30,</w:t>
            </w: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(unaudited)</w:t>
            </w:r>
          </w:p>
        </w:tc>
      </w:tr>
      <w:tr>
        <w:trPr>
          <w:trHeight w:val="26"/>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Accrued payroll related taxes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 liability</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3"/>
        </w:trPr>
        <w:tc>
          <w:tcPr>
            <w:tcW w:w="6720" w:type="dxa"/>
            <w:vAlign w:val="bottom"/>
          </w:tcPr>
          <w:p>
            <w:pPr>
              <w:ind w:left="20"/>
              <w:spacing w:after="0"/>
              <w:rPr>
                <w:sz w:val="20"/>
                <w:szCs w:val="20"/>
                <w:color w:val="auto"/>
              </w:rPr>
            </w:pPr>
            <w:r>
              <w:rPr>
                <w:rFonts w:ascii="Arial" w:cs="Arial" w:eastAsia="Arial" w:hAnsi="Arial"/>
                <w:sz w:val="18"/>
                <w:szCs w:val="18"/>
                <w:color w:val="auto"/>
              </w:rPr>
              <w:t>Total other liabilities—noncurrent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Fundera</w:t>
      </w:r>
      <w:r>
        <w:rPr>
          <w:rFonts w:ascii="Arial" w:cs="Arial" w:eastAsia="Arial" w:hAnsi="Arial"/>
          <w:sz w:val="18"/>
          <w:szCs w:val="18"/>
          <w:color w:val="auto"/>
        </w:rPr>
        <w:t>—In October 2020, the Company executed a merger agreement to acquire all outstanding shares of Fundera. Fundera is a company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an application that connects small businesses to lenders and covers everything from loans to legal services, free financial content and one-on-one access to experienced lending. Fundera was founded in 2013 and is headquartered in New York, NY. The acquisition date aggregate purchase price was approximately $65.1 million, which consisted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5"/>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Fair value of contingent consideration</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total closing consideration for the Fundera acquisition was $29.2 million in cash, of which $4.6 million in cash was held in escrow for the settlement of general representation and warranty provisions. Further the Company could make up to two additional earnout payments based on achievement of Fundera’s future revenue and profitability milestones for the years ended December 31, 2021 and 2022. These additional payments, to the extent earned, will be payable in cash. The fair value of earnouts, which are subject to the recipients continued employment services was $2.7 million and was excluded from the aggregate purchase price and accounted for separately from the business combination. The amounts will be recognized as compensation expense as earned over the next 12 to 24 months, classified as research and development and sales and marketing expenses based on the recipients’ job functions, in the Company’s consolidated statements of operations and comprehensive income (loss). As of September 30, 2021, the Company has recorded a deferred compensation liability related to earnouts of $1.5 million (unaudited), included within accrued and other current liabilities on the Company’s consolidated balance sheet.</w:t>
      </w:r>
    </w:p>
    <w:p>
      <w:pPr>
        <w:spacing w:after="0" w:line="12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December 31, 2020, the estimated fair value of the contingent consideration was $35.2 million, which is included in contingent consideration in the accompanying consolidated balance sheet. The estimated fair value of the contingent consideration is determined using a Monte Carlo simulation model. The estimated value of the contingent consideration is based upon available information and certain assumptions, known at the time the estimate was made, which management believes are reasonable. Contingent consideration is subject to remeasurement at each reporting date until the payments are made, with the remeasurement adjustment reported in the Company’s consolidated statements of operations and comprehensive income (loss).</w:t>
      </w:r>
    </w:p>
    <w:p>
      <w:pPr>
        <w:spacing w:after="0" w:line="1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Certain stock options held by Fundera employees were replaced with restricted stock units (“RSUs”) by the Company with a total fair value of $1.9 million. The vesting of these RSUs is contingent on continued employment, and was excluded from the aggregate purchase price. These awards will be recognized as stock-based compensation expense ratably over the remaining vesting term of less than 1 to 4 years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F-21</w:t>
      </w:r>
    </w:p>
    <w:p>
      <w:pPr>
        <w:sectPr>
          <w:pgSz w:w="11900" w:h="16838" w:orient="portrait"/>
          <w:cols w:equalWidth="0" w:num="1">
            <w:col w:w="11240"/>
          </w:cols>
          <w:pgMar w:left="320" w:top="175" w:right="339" w:bottom="1440" w:gutter="0" w:footer="0" w:header="0"/>
        </w:sectPr>
      </w:pPr>
    </w:p>
    <w:bookmarkStart w:id="181" w:name="page182"/>
    <w:bookmarkEnd w:id="181"/>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acquisition has been accounted for as a business combination. The allocation of purchase price to the assets acquired and liabilities assumed is as follows (in millions):</w:t>
      </w:r>
    </w:p>
    <w:p>
      <w:pPr>
        <w:sectPr>
          <w:pgSz w:w="11900" w:h="16838" w:orient="portrait"/>
          <w:cols w:equalWidth="0" w:num="1">
            <w:col w:w="11240"/>
          </w:cols>
          <w:pgMar w:left="320" w:top="175" w:right="339" w:bottom="1440" w:gutter="0" w:footer="0" w:header="0"/>
        </w:sect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tangible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tax liability</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purchase price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48"/>
        <w:spacing w:after="0"/>
        <w:rPr>
          <w:sz w:val="20"/>
          <w:szCs w:val="20"/>
          <w:color w:val="auto"/>
        </w:rPr>
      </w:pPr>
      <w:r>
        <w:rPr>
          <w:rFonts w:ascii="Arial" w:cs="Arial" w:eastAsia="Arial" w:hAnsi="Arial"/>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32385</wp:posOffset>
            </wp:positionV>
            <wp:extent cx="713232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248" w:hanging="1248"/>
        <w:spacing w:after="0"/>
        <w:tabs>
          <w:tab w:leader="none" w:pos="12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1.0</w:t>
      </w:r>
    </w:p>
    <w:p>
      <w:pPr>
        <w:spacing w:after="0" w:line="63" w:lineRule="exact"/>
        <w:rPr>
          <w:rFonts w:ascii="Arial" w:cs="Arial" w:eastAsia="Arial" w:hAnsi="Arial"/>
          <w:sz w:val="18"/>
          <w:szCs w:val="18"/>
          <w:color w:val="auto"/>
        </w:rPr>
      </w:pPr>
    </w:p>
    <w:p>
      <w:pPr>
        <w:ind w:left="1248"/>
        <w:spacing w:after="0"/>
        <w:rPr>
          <w:rFonts w:ascii="Arial" w:cs="Arial" w:eastAsia="Arial" w:hAnsi="Arial"/>
          <w:sz w:val="18"/>
          <w:szCs w:val="18"/>
          <w:color w:val="auto"/>
        </w:rPr>
      </w:pPr>
      <w:r>
        <w:rPr>
          <w:rFonts w:ascii="Arial" w:cs="Arial" w:eastAsia="Arial" w:hAnsi="Arial"/>
          <w:sz w:val="18"/>
          <w:szCs w:val="18"/>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31750</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168"/>
        <w:spacing w:after="0"/>
        <w:rPr>
          <w:sz w:val="20"/>
          <w:szCs w:val="20"/>
          <w:color w:val="auto"/>
        </w:rPr>
      </w:pPr>
      <w:r>
        <w:rPr>
          <w:rFonts w:ascii="Arial" w:cs="Arial" w:eastAsia="Arial" w:hAnsi="Arial"/>
          <w:sz w:val="18"/>
          <w:szCs w:val="18"/>
          <w:color w:val="auto"/>
        </w:rPr>
        <w:t>29.4</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31750</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168"/>
        <w:spacing w:after="0"/>
        <w:rPr>
          <w:sz w:val="20"/>
          <w:szCs w:val="20"/>
          <w:color w:val="auto"/>
        </w:rPr>
      </w:pPr>
      <w:r>
        <w:rPr>
          <w:rFonts w:ascii="Arial" w:cs="Arial" w:eastAsia="Arial" w:hAnsi="Arial"/>
          <w:sz w:val="18"/>
          <w:szCs w:val="18"/>
          <w:color w:val="auto"/>
        </w:rPr>
        <w:t>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944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7" w:lineRule="exact"/>
        <w:rPr>
          <w:sz w:val="20"/>
          <w:szCs w:val="20"/>
          <w:color w:val="auto"/>
        </w:rPr>
      </w:pPr>
    </w:p>
    <w:p>
      <w:pPr>
        <w:ind w:left="1168" w:hanging="1168"/>
        <w:spacing w:after="0"/>
        <w:tabs>
          <w:tab w:leader="none" w:pos="116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944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9944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8972" w:space="720"/>
            <w:col w:w="1548"/>
          </w:cols>
          <w:pgMar w:left="320" w:top="175" w:right="339" w:bottom="1440" w:gutter="0" w:footer="0" w:header="0"/>
          <w:type w:val="continuous"/>
        </w:sectPr>
      </w:pP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acquired intangible assets are definite-lived assets consisting of user base, customer relationships, developed technology and trade name. The estimated fair value was determined using the excess earnings method for user base, with-and-without method for acquired customer relationships, and relief-from-royalty method for the acquired technology and trade name. The fair value of the intangible assets with definite lives is as follows (dollars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ind w:right="135"/>
              <w:spacing w:after="0"/>
              <w:rPr>
                <w:sz w:val="20"/>
                <w:szCs w:val="20"/>
                <w:color w:val="auto"/>
              </w:rPr>
            </w:pPr>
            <w:r>
              <w:rPr>
                <w:rFonts w:ascii="Arial" w:cs="Arial" w:eastAsia="Arial" w:hAnsi="Arial"/>
                <w:sz w:val="14"/>
                <w:szCs w:val="14"/>
                <w:b w:val="1"/>
                <w:bCs w:val="1"/>
                <w:color w:val="auto"/>
              </w:rPr>
              <w:t>Weighted Average</w:t>
            </w:r>
          </w:p>
        </w:tc>
      </w:tr>
      <w:tr>
        <w:trPr>
          <w:trHeight w:val="186"/>
        </w:trPr>
        <w:tc>
          <w:tcPr>
            <w:tcW w:w="80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115"/>
              <w:spacing w:after="0"/>
              <w:rPr>
                <w:sz w:val="20"/>
                <w:szCs w:val="20"/>
                <w:color w:val="auto"/>
              </w:rPr>
            </w:pPr>
            <w:r>
              <w:rPr>
                <w:rFonts w:ascii="Arial" w:cs="Arial" w:eastAsia="Arial" w:hAnsi="Arial"/>
                <w:sz w:val="14"/>
                <w:szCs w:val="14"/>
                <w:b w:val="1"/>
                <w:bCs w:val="1"/>
                <w:color w:val="auto"/>
              </w:rPr>
              <w:t>Useful Life (Years)</w:t>
            </w:r>
          </w:p>
        </w:tc>
      </w:tr>
      <w:tr>
        <w:trPr>
          <w:trHeight w:val="26"/>
        </w:trPr>
        <w:tc>
          <w:tcPr>
            <w:tcW w:w="80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User base</w:t>
            </w: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8020" w:type="dxa"/>
            <w:vAlign w:val="bottom"/>
          </w:tcPr>
          <w:p>
            <w:pPr>
              <w:ind w:left="80"/>
              <w:spacing w:after="0"/>
              <w:rPr>
                <w:sz w:val="20"/>
                <w:szCs w:val="20"/>
                <w:color w:val="auto"/>
              </w:rPr>
            </w:pPr>
            <w:r>
              <w:rPr>
                <w:rFonts w:ascii="Arial" w:cs="Arial" w:eastAsia="Arial" w:hAnsi="Arial"/>
                <w:sz w:val="18"/>
                <w:szCs w:val="18"/>
                <w:color w:val="auto"/>
              </w:rPr>
              <w:t>Customer relationships</w:t>
            </w: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Technology</w:t>
            </w: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020" w:type="dxa"/>
            <w:vAlign w:val="bottom"/>
          </w:tcPr>
          <w:p>
            <w:pPr>
              <w:ind w:left="60"/>
              <w:spacing w:after="0"/>
              <w:rPr>
                <w:sz w:val="20"/>
                <w:szCs w:val="20"/>
                <w:color w:val="auto"/>
              </w:rPr>
            </w:pPr>
            <w:r>
              <w:rPr>
                <w:rFonts w:ascii="Arial" w:cs="Arial" w:eastAsia="Arial" w:hAnsi="Arial"/>
                <w:sz w:val="18"/>
                <w:szCs w:val="18"/>
                <w:color w:val="auto"/>
              </w:rPr>
              <w:t>Trade name</w:t>
            </w: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0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29.4</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recorded goodwill of $37.3 million, which represents the excess of the purchase price over the estimated fair value of tangible and intangible assets acquired, net of the liabilities assumed. The goodwill is primarily attributable to Fundera as a going concern, which represents the ability of the Company to earn a higher return on the collection of assets and business of Fundera than if those assets and business were to be acquired and managed separately. The benefit of access to the workforce is an additional element of goodwill. For income tax purposes, the acquisition was a stock purchase and goodwill is not tax deductible. Acquisition-related costs of $1.0 million were incurred in 2020 and are included in general and administrative expense on the consolidated statement of operations and comprehensive income (loss). During the period from the acquisition date through December 31, 2020, the Company has recognized revenue and loss before income tax for Fundera in the amount of $2.0 million and $(0.3) million, respectively.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 Forma Results (Unaudited)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pro forma combined results of operations are provided for the years ended December 31, 2020 and 2019, as though the Fundera acquisition had been completed as of January 1, 2019. These supplemental pro forma results of operations are provided for illustrative purposes only and do not purport to be indicative of the actual results that would have been achieved by the combined company for the periods presented or that may be achieved by the combined company in the future. The pro forma results of operations do not include any cost savings or other synergies that resulted, or may result, from the Fundera acquisition or any estimated costs that will be incurred to integrate Fundera. Future results may vary significantly from the results reflected in this pro forma financial information because of future events and transactions, as well as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F-22</w:t>
      </w:r>
    </w:p>
    <w:p>
      <w:pPr>
        <w:sectPr>
          <w:pgSz w:w="11900" w:h="16838" w:orient="portrait"/>
          <w:cols w:equalWidth="0" w:num="1">
            <w:col w:w="11240"/>
          </w:cols>
          <w:pgMar w:left="320" w:top="175" w:right="339" w:bottom="1440" w:gutter="0" w:footer="0" w:header="0"/>
          <w:type w:val="continuous"/>
        </w:sectPr>
      </w:pPr>
    </w:p>
    <w:bookmarkStart w:id="182" w:name="page183"/>
    <w:bookmarkEnd w:id="182"/>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historical financial information was adjusted based on currently available information and certain assumptions that the Company believes are reasonable under the circumstances. The unaudited supplemental pro forma information includes adjustments to amortization and depreciation for acquired intangible assets and property and equipment, adjustments to share-based compensation expense, the purchase accounting effect on interest expense, and transaction costs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(unaudited)</w:t>
            </w:r>
          </w:p>
        </w:tc>
      </w:tr>
      <w:tr>
        <w:trPr>
          <w:trHeight w:val="26"/>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204.9</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2"/>
              <w:spacing w:after="0"/>
              <w:rPr>
                <w:sz w:val="20"/>
                <w:szCs w:val="20"/>
                <w:color w:val="auto"/>
              </w:rPr>
            </w:pPr>
            <w:r>
              <w:rPr>
                <w:rFonts w:ascii="Arial" w:cs="Arial" w:eastAsia="Arial" w:hAnsi="Arial"/>
                <w:sz w:val="18"/>
                <w:szCs w:val="18"/>
                <w:color w:val="auto"/>
              </w:rPr>
              <w:t>3.0</w:t>
            </w: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Know Your Money</w:t>
      </w:r>
      <w:r>
        <w:rPr>
          <w:rFonts w:ascii="Arial" w:cs="Arial" w:eastAsia="Arial" w:hAnsi="Arial"/>
          <w:sz w:val="18"/>
          <w:szCs w:val="18"/>
          <w:color w:val="auto"/>
        </w:rPr>
        <w:t>—On September 30, 2020, the Company acquired all the outstanding shares of Notice Media Ltd., doing business as Know Your</w:t>
      </w:r>
      <w:r>
        <w:rPr>
          <w:rFonts w:ascii="Arial" w:cs="Arial" w:eastAsia="Arial" w:hAnsi="Arial"/>
          <w:sz w:val="18"/>
          <w:szCs w:val="18"/>
          <w:b w:val="1"/>
          <w:bCs w:val="1"/>
          <w:color w:val="auto"/>
        </w:rPr>
        <w:t xml:space="preserve"> </w:t>
      </w:r>
      <w:r>
        <w:rPr>
          <w:rFonts w:ascii="Arial" w:cs="Arial" w:eastAsia="Arial" w:hAnsi="Arial"/>
          <w:sz w:val="18"/>
          <w:szCs w:val="18"/>
          <w:color w:val="auto"/>
        </w:rPr>
        <w:t>Money, an online provider of financial guidance and tools based in the United Kingdom. The aggregate purchase price transferred for KYM was approximately $13.7 million, which consisted of the following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5"/>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Fair value of contingent consideration</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paid $12.3 million in initial cash consideration and could make up to two additional earnout payments based on certain defined operating metrics during the earnout periods January 1, 2021 through December 31, 2021 and January 1, 2022 through December 31, 2022. These additional payments, to the extent earned, will be payable in cash. As part of the transaction, the Company entered into additional earnouts which are subject to the recipients’ continued service. The fair value of such earnouts was $5.9 million, which was excluded from the aggregate purchase price and accounted for separately from the business combination. The amounts will be recognized as compensation expense as earned over the next 12 to 24 months.</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December 31, 2020, the estimated fair value of the contingent consideration totaled $1.3 million, which is included in contingent consideration in the accompanying consolidated balance sheet. The estimated fair value of the contingent consideration payments is determined using a Monte Carlo simulation model. The estimated value of the contingent consideration is based upon available information and certain assumptions, known at the time of this report, which management believes are reasonable. Contingent consideration is subject to remeasurement at each reporting date until the payments are made, with the remeasurement adjustment reported in the Company’s consolidated statements of operations and comprehensive income (loss).</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acquisition has been accounted for as a business combination. The allocation of purchase price to the assets acquired and liabilities assumed is as follows (in millions):</w:t>
      </w:r>
    </w:p>
    <w:p>
      <w:pPr>
        <w:sectPr>
          <w:pgSz w:w="11900" w:h="16838" w:orient="portrait"/>
          <w:cols w:equalWidth="0" w:num="1">
            <w:col w:w="11240"/>
          </w:cols>
          <w:pgMar w:left="320" w:top="175" w:right="339" w:bottom="1440" w:gutter="0" w:footer="0" w:header="0"/>
        </w:sect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tangible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tax liability</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purchase price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48"/>
        <w:spacing w:after="0"/>
        <w:rPr>
          <w:sz w:val="20"/>
          <w:szCs w:val="20"/>
          <w:color w:val="auto"/>
        </w:rPr>
      </w:pPr>
      <w:r>
        <w:rPr>
          <w:rFonts w:ascii="Arial" w:cs="Arial" w:eastAsia="Arial" w:hAnsi="Arial"/>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32385</wp:posOffset>
            </wp:positionV>
            <wp:extent cx="713232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248" w:hanging="1248"/>
        <w:spacing w:after="0"/>
        <w:tabs>
          <w:tab w:leader="none" w:pos="12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1.5</w:t>
      </w:r>
    </w:p>
    <w:p>
      <w:pPr>
        <w:spacing w:after="0" w:line="63" w:lineRule="exact"/>
        <w:rPr>
          <w:rFonts w:ascii="Arial" w:cs="Arial" w:eastAsia="Arial" w:hAnsi="Arial"/>
          <w:sz w:val="18"/>
          <w:szCs w:val="18"/>
          <w:color w:val="auto"/>
        </w:rPr>
      </w:pPr>
    </w:p>
    <w:p>
      <w:pPr>
        <w:ind w:left="1248"/>
        <w:spacing w:after="0"/>
        <w:rPr>
          <w:rFonts w:ascii="Arial" w:cs="Arial" w:eastAsia="Arial" w:hAnsi="Arial"/>
          <w:sz w:val="18"/>
          <w:szCs w:val="18"/>
          <w:color w:val="auto"/>
        </w:rPr>
      </w:pPr>
      <w:r>
        <w:rPr>
          <w:rFonts w:ascii="Arial" w:cs="Arial" w:eastAsia="Arial" w:hAnsi="Arial"/>
          <w:sz w:val="18"/>
          <w:szCs w:val="18"/>
          <w:color w:val="auto"/>
        </w:rPr>
        <w:t>0.2</w:t>
      </w:r>
    </w:p>
    <w:p>
      <w:pPr>
        <w:spacing w:after="0" w:line="63" w:lineRule="exact"/>
        <w:rPr>
          <w:rFonts w:ascii="Arial" w:cs="Arial" w:eastAsia="Arial" w:hAnsi="Arial"/>
          <w:sz w:val="18"/>
          <w:szCs w:val="18"/>
          <w:color w:val="auto"/>
        </w:rPr>
      </w:pPr>
    </w:p>
    <w:p>
      <w:pPr>
        <w:ind w:left="1248"/>
        <w:spacing w:after="0"/>
        <w:rPr>
          <w:rFonts w:ascii="Arial" w:cs="Arial" w:eastAsia="Arial" w:hAnsi="Arial"/>
          <w:sz w:val="18"/>
          <w:szCs w:val="18"/>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-139065</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-6148705</wp:posOffset>
            </wp:positionH>
            <wp:positionV relativeFrom="paragraph">
              <wp:posOffset>31750</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944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57" w:lineRule="exact"/>
        <w:rPr>
          <w:sz w:val="20"/>
          <w:szCs w:val="20"/>
          <w:color w:val="auto"/>
        </w:rPr>
      </w:pPr>
    </w:p>
    <w:p>
      <w:pPr>
        <w:ind w:left="1168" w:hanging="1168"/>
        <w:spacing w:after="0"/>
        <w:tabs>
          <w:tab w:leader="none" w:pos="116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944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9944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8972" w:space="720"/>
            <w:col w:w="1548"/>
          </w:cols>
          <w:pgMar w:left="320" w:top="175" w:right="339" w:bottom="1440" w:gutter="0" w:footer="0" w:header="0"/>
          <w:type w:val="continuous"/>
        </w:sectPr>
      </w:pPr>
    </w:p>
    <w:p>
      <w:pPr>
        <w:spacing w:after="0" w:line="1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acquired intangible assets are definite-lived assets consisting of customer relationships and developed technology. The estimated fair values of the customer relationships were determined using the excess earning</w:t>
      </w: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F-23</w:t>
      </w:r>
    </w:p>
    <w:p>
      <w:pPr>
        <w:sectPr>
          <w:pgSz w:w="11900" w:h="16838" w:orient="portrait"/>
          <w:cols w:equalWidth="0" w:num="1">
            <w:col w:w="11240"/>
          </w:cols>
          <w:pgMar w:left="320" w:top="175" w:right="339" w:bottom="1440" w:gutter="0" w:footer="0" w:header="0"/>
          <w:type w:val="continuous"/>
        </w:sectPr>
      </w:pPr>
    </w:p>
    <w:bookmarkStart w:id="183" w:name="page184"/>
    <w:bookmarkEnd w:id="183"/>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method and the developed technology was determined using the relief from royalty method. The fair value of the intangible assets with definite lives is as follows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ind w:right="137"/>
              <w:spacing w:after="0"/>
              <w:rPr>
                <w:sz w:val="20"/>
                <w:szCs w:val="20"/>
                <w:color w:val="auto"/>
              </w:rPr>
            </w:pPr>
            <w:r>
              <w:rPr>
                <w:rFonts w:ascii="Arial" w:cs="Arial" w:eastAsia="Arial" w:hAnsi="Arial"/>
                <w:sz w:val="14"/>
                <w:szCs w:val="14"/>
                <w:b w:val="1"/>
                <w:bCs w:val="1"/>
                <w:color w:val="auto"/>
              </w:rPr>
              <w:t>Weighted Average</w:t>
            </w:r>
          </w:p>
        </w:tc>
      </w:tr>
      <w:tr>
        <w:trPr>
          <w:trHeight w:val="186"/>
        </w:trPr>
        <w:tc>
          <w:tcPr>
            <w:tcW w:w="80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117"/>
              <w:spacing w:after="0"/>
              <w:rPr>
                <w:sz w:val="20"/>
                <w:szCs w:val="20"/>
                <w:color w:val="auto"/>
              </w:rPr>
            </w:pPr>
            <w:r>
              <w:rPr>
                <w:rFonts w:ascii="Arial" w:cs="Arial" w:eastAsia="Arial" w:hAnsi="Arial"/>
                <w:sz w:val="14"/>
                <w:szCs w:val="14"/>
                <w:b w:val="1"/>
                <w:bCs w:val="1"/>
                <w:color w:val="auto"/>
              </w:rPr>
              <w:t>Useful Life (Years)</w:t>
            </w:r>
          </w:p>
        </w:tc>
      </w:tr>
      <w:tr>
        <w:trPr>
          <w:trHeight w:val="26"/>
        </w:trPr>
        <w:tc>
          <w:tcPr>
            <w:tcW w:w="80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0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recorded goodwill of $6.0 million, which represents the excess of the purchase price over the estimated fair value of tangible and intangible assets acquired, net of the liabilities assumed. The goodwill is primarily attributable to KYM as a going concern, which represents the ability of the Company to earn a higher return on the collection of assets and business of KYM than if those assets and business were to be acquired and managed separately. The benefit of access to the workforce is an additional element of goodwill. For income tax purposes, the acquisition was a stock purchase and goodwill is not tax deductible. Acquisition-related costs of $0.5 million were incurred in 2020 and are included in general and administrative expense on the consolidated statement of operations and comprehensive income (loss). During the period from the acquisition date through December 31, 2020 the Company has recognized revenue and loss before income tax for KYM in the amount of $1.5 million and $(0.1) million, respectively. Pro forma results of operations have not been provided to reflect the KYM acquisition as such results would not have been materially different from the Company’s reported results.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6.</w:t>
            </w:r>
          </w:p>
        </w:tc>
        <w:tc>
          <w:tcPr>
            <w:tcW w:w="4940" w:type="dxa"/>
            <w:vAlign w:val="bottom"/>
          </w:tcPr>
          <w:p>
            <w:pPr>
              <w:ind w:left="420"/>
              <w:spacing w:after="0"/>
              <w:rPr>
                <w:sz w:val="20"/>
                <w:szCs w:val="20"/>
                <w:color w:val="auto"/>
              </w:rPr>
            </w:pPr>
            <w:r>
              <w:rPr>
                <w:rFonts w:ascii="Arial" w:cs="Arial" w:eastAsia="Arial" w:hAnsi="Arial"/>
                <w:sz w:val="18"/>
                <w:szCs w:val="18"/>
                <w:b w:val="1"/>
                <w:bCs w:val="1"/>
                <w:color w:val="auto"/>
              </w:rPr>
              <w:t>GOODWILL AND INTANGIBLE ASSETS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The balance of goodwill, net is as follows (in millions):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411"/>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5"/>
        </w:trPr>
        <w:tc>
          <w:tcPr>
            <w:tcW w:w="5180" w:type="dxa"/>
            <w:vAlign w:val="bottom"/>
            <w:tcBorders>
              <w:bottom w:val="single" w:sz="8" w:color="CCEEFF"/>
            </w:tcBorders>
            <w:gridSpan w:val="2"/>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Acquisition of Fundera</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51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Acquisition of KYM</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gridSpan w:val="2"/>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 (unaudited)</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gridSpan w:val="2"/>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2021 (unaudited)</w:t>
            </w: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ind w:left="100"/>
              <w:spacing w:after="0"/>
              <w:rPr>
                <w:sz w:val="20"/>
                <w:szCs w:val="20"/>
                <w:color w:val="auto"/>
              </w:rPr>
            </w:pPr>
            <w:r>
              <w:rPr>
                <w:rFonts w:ascii="Arial" w:cs="Arial" w:eastAsia="Arial" w:hAnsi="Arial"/>
                <w:sz w:val="18"/>
                <w:szCs w:val="18"/>
                <w:color w:val="auto"/>
                <w:w w:val="97"/>
              </w:rPr>
              <w:t>No impairment charges have been recorded for goodwill in the periods presented.</w:t>
            </w: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40" w:type="dxa"/>
            <w:vAlign w:val="bottom"/>
          </w:tcPr>
          <w:p>
            <w:pPr>
              <w:spacing w:after="0"/>
              <w:rPr>
                <w:sz w:val="24"/>
                <w:szCs w:val="24"/>
                <w:color w:val="auto"/>
              </w:rPr>
            </w:pPr>
          </w:p>
        </w:tc>
        <w:tc>
          <w:tcPr>
            <w:tcW w:w="64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8020" w:type="dxa"/>
            <w:vAlign w:val="bottom"/>
            <w:gridSpan w:val="6"/>
          </w:tcPr>
          <w:p>
            <w:pPr>
              <w:ind w:left="100"/>
              <w:spacing w:after="0"/>
              <w:rPr>
                <w:sz w:val="20"/>
                <w:szCs w:val="20"/>
                <w:color w:val="auto"/>
              </w:rPr>
            </w:pPr>
            <w:r>
              <w:rPr>
                <w:rFonts w:ascii="Arial" w:cs="Arial" w:eastAsia="Arial" w:hAnsi="Arial"/>
                <w:sz w:val="18"/>
                <w:szCs w:val="18"/>
                <w:color w:val="auto"/>
              </w:rPr>
              <w:t>Intangible assets with definite lives related to the following as of December 31, 2020 (in millions):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 Average</w:t>
            </w:r>
          </w:p>
        </w:tc>
        <w:tc>
          <w:tcPr>
            <w:tcW w:w="18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24"/>
                <w:szCs w:val="2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Useful Life (Years)</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Net Carrying Amount</w:t>
            </w:r>
          </w:p>
        </w:tc>
        <w:tc>
          <w:tcPr>
            <w:tcW w:w="0" w:type="dxa"/>
            <w:vAlign w:val="bottom"/>
          </w:tcPr>
          <w:p>
            <w:pPr>
              <w:spacing w:after="0"/>
              <w:rPr>
                <w:sz w:val="1"/>
                <w:szCs w:val="1"/>
                <w:color w:val="auto"/>
              </w:rPr>
            </w:pPr>
          </w:p>
        </w:tc>
      </w:tr>
      <w:tr>
        <w:trPr>
          <w:trHeight w:val="25"/>
        </w:trPr>
        <w:tc>
          <w:tcPr>
            <w:tcW w:w="5180" w:type="dxa"/>
            <w:vAlign w:val="bottom"/>
            <w:tcBorders>
              <w:bottom w:val="single" w:sz="8" w:color="CCEEFF"/>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User base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51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1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4"/>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As of December 31, 2020</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F-24</w:t>
      </w:r>
    </w:p>
    <w:p>
      <w:pPr>
        <w:sectPr>
          <w:pgSz w:w="11900" w:h="16838" w:orient="portrait"/>
          <w:cols w:equalWidth="0" w:num="1">
            <w:col w:w="11240"/>
          </w:cols>
          <w:pgMar w:left="320" w:top="175" w:right="339" w:bottom="1440" w:gutter="0" w:footer="0" w:header="0"/>
        </w:sectPr>
      </w:pPr>
    </w:p>
    <w:bookmarkStart w:id="184" w:name="page185"/>
    <w:bookmarkEnd w:id="184"/>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with definite lives related to the following as of September 30, 2021 (unaudited) (in millions):</w:t>
      </w:r>
    </w:p>
    <w:p>
      <w:pPr>
        <w:spacing w:after="0" w:line="217" w:lineRule="exact"/>
        <w:rPr>
          <w:sz w:val="20"/>
          <w:szCs w:val="20"/>
          <w:color w:val="auto"/>
        </w:rPr>
      </w:pPr>
    </w:p>
    <w:p>
      <w:pPr>
        <w:ind w:left="5340"/>
        <w:spacing w:after="0"/>
        <w:tabs>
          <w:tab w:leader="none" w:pos="6940" w:val="left"/>
          <w:tab w:leader="none" w:pos="8560" w:val="left"/>
        </w:tabs>
        <w:rPr>
          <w:sz w:val="20"/>
          <w:szCs w:val="20"/>
          <w:color w:val="auto"/>
        </w:rPr>
      </w:pPr>
      <w:r>
        <w:rPr>
          <w:rFonts w:ascii="Arial" w:cs="Arial" w:eastAsia="Arial" w:hAnsi="Arial"/>
          <w:sz w:val="14"/>
          <w:szCs w:val="14"/>
          <w:b w:val="1"/>
          <w:bCs w:val="1"/>
          <w:color w:val="auto"/>
        </w:rPr>
        <w:t>Weighted Average</w:t>
      </w:r>
      <w:r>
        <w:rPr>
          <w:sz w:val="20"/>
          <w:szCs w:val="20"/>
          <w:color w:val="auto"/>
        </w:rPr>
        <w:tab/>
      </w:r>
      <w:r>
        <w:rPr>
          <w:rFonts w:ascii="Arial" w:cs="Arial" w:eastAsia="Arial" w:hAnsi="Arial"/>
          <w:sz w:val="14"/>
          <w:szCs w:val="14"/>
          <w:b w:val="1"/>
          <w:bCs w:val="1"/>
          <w:color w:val="auto"/>
        </w:rPr>
        <w:t>Gross Carrying</w:t>
      </w:r>
      <w:r>
        <w:rPr>
          <w:sz w:val="20"/>
          <w:szCs w:val="20"/>
          <w:color w:val="auto"/>
        </w:rPr>
        <w:tab/>
      </w:r>
      <w:r>
        <w:rPr>
          <w:rFonts w:ascii="Arial" w:cs="Arial" w:eastAsia="Arial" w:hAnsi="Arial"/>
          <w:sz w:val="12"/>
          <w:szCs w:val="12"/>
          <w:b w:val="1"/>
          <w:bCs w:val="1"/>
          <w:color w:val="auto"/>
        </w:rPr>
        <w:t>Accumulated</w:t>
      </w:r>
    </w:p>
    <w:p>
      <w:pPr>
        <w:spacing w:after="0" w:line="17" w:lineRule="exact"/>
        <w:rPr>
          <w:sz w:val="20"/>
          <w:szCs w:val="20"/>
          <w:color w:val="auto"/>
        </w:rPr>
      </w:pPr>
    </w:p>
    <w:p>
      <w:pPr>
        <w:jc w:val="right"/>
        <w:ind w:right="40"/>
        <w:spacing w:after="0"/>
        <w:tabs>
          <w:tab w:leader="none" w:pos="4000" w:val="left"/>
          <w:tab w:leader="none" w:pos="2620" w:val="left"/>
          <w:tab w:leader="none" w:pos="1340" w:val="left"/>
        </w:tabs>
        <w:rPr>
          <w:sz w:val="20"/>
          <w:szCs w:val="20"/>
          <w:color w:val="auto"/>
        </w:rPr>
      </w:pPr>
      <w:r>
        <w:rPr>
          <w:rFonts w:ascii="Arial" w:cs="Arial" w:eastAsia="Arial" w:hAnsi="Arial"/>
          <w:sz w:val="14"/>
          <w:szCs w:val="14"/>
          <w:b w:val="1"/>
          <w:bCs w:val="1"/>
          <w:color w:val="auto"/>
        </w:rPr>
        <w:t>Useful Life (Years)</w:t>
      </w:r>
      <w:r>
        <w:rPr>
          <w:sz w:val="20"/>
          <w:szCs w:val="20"/>
          <w:color w:val="auto"/>
        </w:rPr>
        <w:tab/>
      </w:r>
      <w:r>
        <w:rPr>
          <w:rFonts w:ascii="Arial" w:cs="Arial" w:eastAsia="Arial" w:hAnsi="Arial"/>
          <w:sz w:val="14"/>
          <w:szCs w:val="14"/>
          <w:b w:val="1"/>
          <w:bCs w:val="1"/>
          <w:color w:val="auto"/>
        </w:rPr>
        <w:t>Amount</w:t>
      </w:r>
      <w:r>
        <w:rPr>
          <w:sz w:val="20"/>
          <w:szCs w:val="20"/>
          <w:color w:val="auto"/>
        </w:rPr>
        <w:tab/>
      </w:r>
      <w:r>
        <w:rPr>
          <w:rFonts w:ascii="Arial" w:cs="Arial" w:eastAsia="Arial" w:hAnsi="Arial"/>
          <w:sz w:val="14"/>
          <w:szCs w:val="14"/>
          <w:b w:val="1"/>
          <w:bCs w:val="1"/>
          <w:color w:val="auto"/>
        </w:rPr>
        <w:t>Amortization</w:t>
      </w:r>
      <w:r>
        <w:rPr>
          <w:sz w:val="20"/>
          <w:szCs w:val="20"/>
          <w:color w:val="auto"/>
        </w:rPr>
        <w:tab/>
      </w:r>
      <w:r>
        <w:rPr>
          <w:rFonts w:ascii="Arial" w:cs="Arial" w:eastAsia="Arial" w:hAnsi="Arial"/>
          <w:sz w:val="13"/>
          <w:szCs w:val="13"/>
          <w:b w:val="1"/>
          <w:bCs w:val="1"/>
          <w:color w:val="auto"/>
        </w:rPr>
        <w:t>Net Carrying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620" w:type="dxa"/>
            <w:vAlign w:val="bottom"/>
          </w:tcPr>
          <w:p>
            <w:pPr>
              <w:spacing w:after="0"/>
              <w:rPr>
                <w:sz w:val="20"/>
                <w:szCs w:val="20"/>
                <w:color w:val="auto"/>
              </w:rPr>
            </w:pPr>
            <w:r>
              <w:rPr>
                <w:rFonts w:ascii="Arial" w:cs="Arial" w:eastAsia="Arial" w:hAnsi="Arial"/>
                <w:sz w:val="18"/>
                <w:szCs w:val="18"/>
                <w:color w:val="auto"/>
              </w:rPr>
              <w:t>User base</w:t>
            </w:r>
          </w:p>
        </w:tc>
        <w:tc>
          <w:tcPr>
            <w:tcW w:w="204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6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3"/>
                <w:szCs w:val="23"/>
                <w:color w:val="auto"/>
              </w:rPr>
            </w:pPr>
          </w:p>
        </w:tc>
      </w:tr>
      <w:tr>
        <w:trPr>
          <w:trHeight w:val="270"/>
        </w:trPr>
        <w:tc>
          <w:tcPr>
            <w:tcW w:w="4620" w:type="dxa"/>
            <w:vAlign w:val="bottom"/>
          </w:tcPr>
          <w:p>
            <w:pPr>
              <w:spacing w:after="0"/>
              <w:rPr>
                <w:sz w:val="20"/>
                <w:szCs w:val="20"/>
                <w:color w:val="auto"/>
              </w:rPr>
            </w:pPr>
            <w:r>
              <w:rPr>
                <w:rFonts w:ascii="Arial" w:cs="Arial" w:eastAsia="Arial" w:hAnsi="Arial"/>
                <w:sz w:val="18"/>
                <w:szCs w:val="18"/>
                <w:color w:val="auto"/>
              </w:rPr>
              <w:t>Technology</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3"/>
                <w:szCs w:val="23"/>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Trade names</w:t>
            </w:r>
          </w:p>
        </w:tc>
        <w:tc>
          <w:tcPr>
            <w:tcW w:w="20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0"/>
        </w:trPr>
        <w:tc>
          <w:tcPr>
            <w:tcW w:w="46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310"/>
        </w:trPr>
        <w:tc>
          <w:tcPr>
            <w:tcW w:w="4620" w:type="dxa"/>
            <w:vAlign w:val="bottom"/>
          </w:tcPr>
          <w:p>
            <w:pPr>
              <w:spacing w:after="0"/>
              <w:rPr>
                <w:sz w:val="20"/>
                <w:szCs w:val="20"/>
                <w:color w:val="auto"/>
              </w:rPr>
            </w:pPr>
            <w:r>
              <w:rPr>
                <w:rFonts w:ascii="Arial" w:cs="Arial" w:eastAsia="Arial" w:hAnsi="Arial"/>
                <w:sz w:val="18"/>
                <w:szCs w:val="18"/>
                <w:color w:val="auto"/>
              </w:rPr>
              <w:t>As of September 30, 2021</w:t>
            </w:r>
          </w:p>
        </w:tc>
        <w:tc>
          <w:tcPr>
            <w:tcW w:w="20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Estimated future amortization expense as of December 31, 2020 is as follows (in millions):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Years Ending December 31,</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19.4</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0"/>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11.0</w:t>
            </w: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48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48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37.2</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4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
        </w:trPr>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-33655</wp:posOffset>
            </wp:positionV>
            <wp:extent cx="9169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-7620</wp:posOffset>
            </wp:positionV>
            <wp:extent cx="9169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-213995</wp:posOffset>
            </wp:positionV>
            <wp:extent cx="9169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Amortization</w:t>
      </w:r>
    </w:p>
    <w:p>
      <w:pPr>
        <w:spacing w:after="0" w:line="31" w:lineRule="exact"/>
        <w:rPr>
          <w:sz w:val="20"/>
          <w:szCs w:val="20"/>
          <w:color w:val="auto"/>
        </w:rPr>
      </w:pPr>
    </w:p>
    <w:p>
      <w:pPr>
        <w:sectPr>
          <w:pgSz w:w="11900" w:h="16838" w:orient="portrait"/>
          <w:cols w:equalWidth="0" w:num="2">
            <w:col w:w="7060" w:space="720"/>
            <w:col w:w="346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95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9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9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Lines of Credit</w:t>
      </w:r>
      <w:r>
        <w:rPr>
          <w:rFonts w:ascii="Arial" w:cs="Arial" w:eastAsia="Arial" w:hAnsi="Arial"/>
          <w:sz w:val="18"/>
          <w:szCs w:val="18"/>
          <w:color w:val="auto"/>
        </w:rPr>
        <w:t>—The Company maintains a line of credit with Silicon Valley Bank, which over time has been amended and restated. It is secured by</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qualifying accounts receivable of the Company. In June 2017, the Company entered into a second amended and restated Loan and Security Agreement, and in September 2019, the Company extended the maturity of the line of credit to expire in September 2020. The agreement included a borrowing base calculation tied to accounts receivable with a maximum availability of $30.0 million at prime plus 0.75% interest, equating to 5.5% as of December 31, 2019.</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2019, the outstanding balance was $5.0 million and the available amount to borrow under the line of credit pursuant to the borrowing base calculation was $21.2 million.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September 2020, the Company entered into a Senior Secured Credit Facilities Credit Agreement (“Credit Agreement”) with Silicon Valley Bank and also terminated the second amended and restated Loan and Security Agreement from June 2017. The Credit Agreement provides for a revolving line of credit of up to $50.0 million, including a letter of credit sub-facility in the aggregate amount of $10.0 million, and a swingline sub-facility in the aggregate amount of $10.0 million. The Company will also have the option to request incremental facilities of up to an additional $75.0 million from one or more of the lenders under the Credit Agreement. Under the terms of the Credit Agreement, revolving loans may be either Eurodollar Loans or Alternative Base Rate (“ABR”) Loans. Outstanding Eurodollar Loans will incur interest at the Eurodollar Rate, which is defined in the Credit Agreement as LIBOR (or any successor thereto), plus a margin of either 3.00% or 2.75% depending on usage, equating to 3.75% as of December 31, 2020. Outstanding ABR Loans will incur interest at the highest of the Prime Rate, as published by the Wall Street Journal, the federal funds rate in effect for such day plus 0.50%, and 3.25%, in each case a margin of either 0.75% or 0.50% will be applicable, depending on usage, equating to 3.75% as of December 31, 2020. The Company will be charged a commitment fee of 0.30% per year for committed but unused amounts. The Credit Agreement terminates on October 30, 2021. See Notes 15 – Subsequent Events and 16 – Subsequent Events (Unaudited)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F-25</w:t>
      </w:r>
    </w:p>
    <w:p>
      <w:pPr>
        <w:sectPr>
          <w:pgSz w:w="11900" w:h="16838" w:orient="portrait"/>
          <w:cols w:equalWidth="0" w:num="1">
            <w:col w:w="11240"/>
          </w:cols>
          <w:pgMar w:left="320" w:top="175" w:right="339" w:bottom="1440" w:gutter="0" w:footer="0" w:header="0"/>
          <w:type w:val="continuous"/>
        </w:sectPr>
      </w:pPr>
    </w:p>
    <w:bookmarkStart w:id="185" w:name="page186"/>
    <w:bookmarkEnd w:id="185"/>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and September 30, 2021 (unaudited), there were no outstanding balances. As of December 31, 2020 and September 30, 2021 (unaudited), the available amount to borrow under the Credit Agreement was $45.9 million and $94.7 million, respectively, which is equal to the available amount under the Credit Agreement of $50.0 million and $100.0 million, respectively, net of letters of credit with Silicon Valley Bank of $4.1 million and $5.3 million, respectively.</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Credit Agreement contains covenants limiting the ability to, among other things, dispose of assets, undergo a change in control, merge or consolidate, make acquisitions, incur debt, incur liens, pay dividends, repurchase stock, and make investments, in each case subject to certain exceptions.</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Credit Agreement also contains financial covenants requiring the Company to maintain minimum EBITDA and an adjusted quick ratio above specified levels, measured in each case at the end of each fiscal quarter. The Company is required to furnish audited financial statements within 150 days after the fiscal year end, and after the occurrence of a qualified IPO of the Company’s common stock, 90 days after the end of the fiscal year. The Company was in compliance with all financial covenants as of December 31, 2020 and September 30, 2021 (unaudited).</w:t>
      </w:r>
    </w:p>
    <w:p>
      <w:pPr>
        <w:spacing w:after="0" w:line="11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Subordinated Promissory Notes</w:t>
      </w:r>
      <w:r>
        <w:rPr>
          <w:rFonts w:ascii="Arial" w:cs="Arial" w:eastAsia="Arial" w:hAnsi="Arial"/>
          <w:sz w:val="16"/>
          <w:szCs w:val="16"/>
          <w:color w:val="auto"/>
        </w:rPr>
        <w:t>—During 2017, the Company entered into a stock repurchase agreement to repurchase a specific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Class G common stock from one of the Company’s co-founders. In connection with the stock repurchase agreement, the Company issued subordinated promissory notes (the “Notes”) with a principal amount totaling $28.5 million to the co-founder. The Notes bear interest on the outstanding principal amount at the rate of 4.2922% per year and the Company makes annual interest payments. The Notes mature in January 2026. The Company may prepay the Notes in whole or in part at any time prior to the maturity date. The Notes are subordinated in right of payment to the prior payment in full of (i) any indebtedness to banks or other financial institutions and any indebtedness arising from the satisfaction of such indebtedness by a guarantor in existence on the date of the Notes or incurred after the agreement was entered into, and (ii) the liquidation preferences, or other rights or entitlements to proceeds in the event of a deemed liquidation event in respect of the Company’s redeemable convertible preferred stock. In the event of a deemed liquidation event or initial public offering while the Notes remain outstanding, the Company must repay the Notes in an amount equal to the outstanding principal plus an unpaid accrued interest, to the extent there are proceeds available after payment of senior obligations.</w:t>
      </w:r>
    </w:p>
    <w:p>
      <w:pPr>
        <w:spacing w:after="0" w:line="1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determined that the feature whereby the Notes are subordinate in payment to the liquidation preferences of the Company’s preferred stockholders represents an embedded derivative that is to be separately accounted for. Accordingly, upon issuance in December 2017 the Company measured the fair value of deemed liquidation event redemption feature and recognized a derivative contra-liability of $3.3 million with a corresponding entry to debt premium. At December 31, 2019 and 2020, the Company remeasured the derivative contra-liability to an amount of $0.2 million and $0.1 million, respectively. At September 30, 2021 (unaudited), the derivative contra-liability was immaterial. As a result of remeasurement of the derivative contra-liability, losses of $0.5 million and $0.1 million were recorded to other gains (losses), net in the consolidated statement of operations and comprehensive income (loss) for the years ended December 31, 2019 and 2020, respectively, and a $0.1 million loss recorded for the nine months ended September 30, 2021 (unaudited). Further, the Company recorded amortization of the related premium as a reduction to interest expense in the amount of $0.4 million for both the years ended December 31, 2019 and 2020, and $0.3 million for both the nine months ended September 30, 2020 and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F-26</w:t>
      </w:r>
    </w:p>
    <w:p>
      <w:pPr>
        <w:sectPr>
          <w:pgSz w:w="11900" w:h="16838" w:orient="portrait"/>
          <w:cols w:equalWidth="0" w:num="1">
            <w:col w:w="11240"/>
          </w:cols>
          <w:pgMar w:left="320" w:top="175" w:right="339" w:bottom="1440" w:gutter="0" w:footer="0" w:header="0"/>
        </w:sectPr>
      </w:pPr>
    </w:p>
    <w:bookmarkStart w:id="186" w:name="page187"/>
    <w:bookmarkEnd w:id="186"/>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estimates the fair value of the embedded derivative feature at each reporting date based on a with or without valuation approach which leverages the Black-Scholes-Merton option-pricing model. The key inputs and assumption in the model include the fair value of the Company’s equity, exercise prices which are based on the participation thresholds of the preferred and common securities,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53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197"/>
              <w:spacing w:after="0"/>
              <w:rPr>
                <w:sz w:val="20"/>
                <w:szCs w:val="20"/>
                <w:color w:val="auto"/>
              </w:rPr>
            </w:pPr>
            <w:r>
              <w:rPr>
                <w:rFonts w:ascii="Arial" w:cs="Arial" w:eastAsia="Arial" w:hAnsi="Arial"/>
                <w:sz w:val="14"/>
                <w:szCs w:val="14"/>
                <w:b w:val="1"/>
                <w:bCs w:val="1"/>
                <w:color w:val="auto"/>
                <w:w w:val="94"/>
              </w:rPr>
              <w:t>(unaudited)</w:t>
            </w:r>
          </w:p>
        </w:tc>
      </w:tr>
      <w:tr>
        <w:trPr>
          <w:trHeight w:val="26"/>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60.0 %</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0.12 %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0.07 %</w:t>
            </w:r>
          </w:p>
        </w:tc>
      </w:tr>
      <w:tr>
        <w:trPr>
          <w:trHeight w:val="499"/>
        </w:trPr>
        <w:tc>
          <w:tcPr>
            <w:tcW w:w="6400" w:type="dxa"/>
            <w:vAlign w:val="bottom"/>
          </w:tcPr>
          <w:p>
            <w:pPr>
              <w:ind w:left="340"/>
              <w:spacing w:after="0"/>
              <w:rPr>
                <w:sz w:val="20"/>
                <w:szCs w:val="20"/>
                <w:color w:val="auto"/>
              </w:rPr>
            </w:pPr>
            <w:r>
              <w:rPr>
                <w:rFonts w:ascii="Arial" w:cs="Arial" w:eastAsia="Arial" w:hAnsi="Arial"/>
                <w:sz w:val="18"/>
                <w:szCs w:val="18"/>
                <w:color w:val="auto"/>
              </w:rPr>
              <w:t>The Company’s outstanding borrowings are as follows (in millions):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9"/>
        </w:trPr>
        <w:tc>
          <w:tcPr>
            <w:tcW w:w="6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5"/>
          </w:tcPr>
          <w:p>
            <w:pPr>
              <w:ind w:left="880"/>
              <w:spacing w:after="0"/>
              <w:rPr>
                <w:sz w:val="20"/>
                <w:szCs w:val="20"/>
                <w:color w:val="auto"/>
              </w:rPr>
            </w:pPr>
            <w:r>
              <w:rPr>
                <w:rFonts w:ascii="Arial" w:cs="Arial" w:eastAsia="Arial" w:hAnsi="Arial"/>
                <w:sz w:val="14"/>
                <w:szCs w:val="14"/>
                <w:b w:val="1"/>
                <w:bCs w:val="1"/>
                <w:color w:val="auto"/>
                <w:w w:val="90"/>
              </w:rPr>
              <w:t>December 31,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(unaudited)</w:t>
            </w:r>
          </w:p>
        </w:tc>
      </w:tr>
      <w:tr>
        <w:trPr>
          <w:trHeight w:val="26"/>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Lines of credit—current</w:t>
            </w: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Promissory notes—noncurrent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embedded derivative contra-liability</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Add: unamortized debt premium</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contractual payments due until 2026, when the full principal amount of the Notes is repayable.</w:t>
      </w:r>
    </w:p>
    <w:p>
      <w:pPr>
        <w:spacing w:after="0" w:line="167"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Litigation and Other Legal Matters</w:t>
      </w:r>
      <w:r>
        <w:rPr>
          <w:rFonts w:ascii="Arial" w:cs="Arial" w:eastAsia="Arial" w:hAnsi="Arial"/>
          <w:sz w:val="16"/>
          <w:szCs w:val="16"/>
          <w:color w:val="auto"/>
        </w:rPr>
        <w:t>—The Company is involved from time to time in litigation, claims, and proceedings. Periodically,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evaluates the status of each legal matter and assess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As of December 31, 2019 and 2020 and September 30, 2021 (unaudited), the Company has not accrued any potential loss.</w:t>
      </w:r>
    </w:p>
    <w:p>
      <w:pPr>
        <w:spacing w:after="0" w:line="105"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operating lease costs, lease term and discount rate are as follows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ind w:left="78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ind w:left="7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Cost</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ind w:left="3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ind w:left="86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center"/>
              <w:ind w:left="515"/>
              <w:spacing w:after="0"/>
              <w:rPr>
                <w:sz w:val="20"/>
                <w:szCs w:val="20"/>
                <w:color w:val="auto"/>
              </w:rPr>
            </w:pPr>
            <w:r>
              <w:rPr>
                <w:rFonts w:ascii="Arial" w:cs="Arial" w:eastAsia="Arial" w:hAnsi="Arial"/>
                <w:sz w:val="18"/>
                <w:szCs w:val="18"/>
                <w:color w:val="auto"/>
                <w:w w:val="95"/>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center"/>
              <w:ind w:left="535"/>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340" w:type="dxa"/>
            <w:vAlign w:val="bottom"/>
          </w:tcPr>
          <w:p>
            <w:pPr>
              <w:spacing w:after="0"/>
              <w:rPr>
                <w:sz w:val="21"/>
                <w:szCs w:val="21"/>
                <w:color w:val="auto"/>
              </w:rPr>
            </w:pPr>
          </w:p>
        </w:tc>
        <w:tc>
          <w:tcPr>
            <w:tcW w:w="1100" w:type="dxa"/>
            <w:vAlign w:val="bottom"/>
          </w:tcPr>
          <w:p>
            <w:pPr>
              <w:ind w:left="720"/>
              <w:spacing w:after="0"/>
              <w:rPr>
                <w:sz w:val="20"/>
                <w:szCs w:val="20"/>
                <w:color w:val="auto"/>
              </w:rPr>
            </w:pPr>
            <w:r>
              <w:rPr>
                <w:rFonts w:ascii="Arial" w:cs="Arial" w:eastAsia="Arial" w:hAnsi="Arial"/>
                <w:sz w:val="18"/>
                <w:szCs w:val="18"/>
                <w:color w:val="auto"/>
                <w:w w:val="97"/>
              </w:rPr>
              <w:t>(1.8)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center"/>
              <w:ind w:left="495"/>
              <w:spacing w:after="0"/>
              <w:rPr>
                <w:sz w:val="20"/>
                <w:szCs w:val="20"/>
                <w:color w:val="auto"/>
              </w:rPr>
            </w:pPr>
            <w:r>
              <w:rPr>
                <w:rFonts w:ascii="Arial" w:cs="Arial" w:eastAsia="Arial" w:hAnsi="Arial"/>
                <w:sz w:val="18"/>
                <w:szCs w:val="18"/>
                <w:color w:val="auto"/>
                <w:w w:val="91"/>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800"/>
              <w:spacing w:after="0"/>
              <w:rPr>
                <w:sz w:val="20"/>
                <w:szCs w:val="20"/>
                <w:color w:val="auto"/>
              </w:rPr>
            </w:pPr>
            <w:r>
              <w:rPr>
                <w:rFonts w:ascii="Arial" w:cs="Arial" w:eastAsia="Arial" w:hAnsi="Arial"/>
                <w:sz w:val="18"/>
                <w:szCs w:val="18"/>
                <w:color w:val="auto"/>
                <w:w w:val="97"/>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center"/>
              <w:ind w:left="515"/>
              <w:spacing w:after="0"/>
              <w:rPr>
                <w:sz w:val="20"/>
                <w:szCs w:val="20"/>
                <w:color w:val="auto"/>
              </w:rPr>
            </w:pPr>
            <w:r>
              <w:rPr>
                <w:rFonts w:ascii="Arial" w:cs="Arial" w:eastAsia="Arial" w:hAnsi="Arial"/>
                <w:sz w:val="18"/>
                <w:szCs w:val="18"/>
                <w:color w:val="auto"/>
                <w:w w:val="97"/>
              </w:rPr>
              <w:t>(1.4)</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5"/>
              </w:rPr>
              <w:t>5.7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535"/>
              <w:spacing w:after="0"/>
              <w:rPr>
                <w:sz w:val="20"/>
                <w:szCs w:val="20"/>
                <w:color w:val="auto"/>
              </w:rPr>
            </w:pPr>
            <w:r>
              <w:rPr>
                <w:rFonts w:ascii="Arial" w:cs="Arial" w:eastAsia="Arial" w:hAnsi="Arial"/>
                <w:sz w:val="18"/>
                <w:szCs w:val="18"/>
                <w:color w:val="auto"/>
                <w:w w:val="87"/>
              </w:rPr>
              <w:t>4.9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F-27</w:t>
      </w:r>
    </w:p>
    <w:p>
      <w:pPr>
        <w:sectPr>
          <w:pgSz w:w="11900" w:h="16838" w:orient="portrait"/>
          <w:cols w:equalWidth="0" w:num="1">
            <w:col w:w="11240"/>
          </w:cols>
          <w:pgMar w:left="320" w:top="175" w:right="339" w:bottom="1440" w:gutter="0" w:footer="0" w:header="0"/>
          <w:type w:val="continuous"/>
        </w:sectPr>
      </w:pPr>
    </w:p>
    <w:bookmarkStart w:id="187" w:name="page188"/>
    <w:bookmarkEnd w:id="187"/>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214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Term and Discount Rate</w:t>
            </w: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0" w:type="dxa"/>
            <w:vAlign w:val="bottom"/>
            <w:vMerge w:val="continue"/>
          </w:tcPr>
          <w:p>
            <w:pPr>
              <w:spacing w:after="0"/>
              <w:rPr>
                <w:sz w:val="16"/>
                <w:szCs w:val="16"/>
                <w:color w:val="auto"/>
              </w:rPr>
            </w:pPr>
          </w:p>
        </w:tc>
        <w:tc>
          <w:tcPr>
            <w:tcW w:w="1540" w:type="dxa"/>
            <w:vAlign w:val="bottom"/>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54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Right-of-use assets as of December 31, 2019 and 2020 and September 30, 2021 (unaudited) were $13.5 million, $14.0 million and $8.2 million,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schedule of payments of lease liabilities as of December 31, 2020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r>
      <w:tr>
        <w:trPr>
          <w:trHeight w:val="216"/>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40" w:type="dxa"/>
            <w:vAlign w:val="bottom"/>
          </w:tcPr>
          <w:p>
            <w:pPr>
              <w:spacing w:after="0"/>
              <w:rPr>
                <w:sz w:val="18"/>
                <w:szCs w:val="18"/>
                <w:color w:val="auto"/>
              </w:rPr>
            </w:pPr>
          </w:p>
        </w:tc>
        <w:tc>
          <w:tcPr>
            <w:tcW w:w="13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undiscounted cash flows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9680" w:type="dxa"/>
            <w:vAlign w:val="bottom"/>
          </w:tcPr>
          <w:p>
            <w:pPr>
              <w:ind w:left="36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9680" w:type="dxa"/>
            <w:vAlign w:val="bottom"/>
          </w:tcPr>
          <w:p>
            <w:pPr>
              <w:ind w:left="360"/>
              <w:spacing w:after="0"/>
              <w:rPr>
                <w:sz w:val="20"/>
                <w:szCs w:val="20"/>
                <w:color w:val="auto"/>
              </w:rPr>
            </w:pPr>
            <w:r>
              <w:rPr>
                <w:rFonts w:ascii="Arial" w:cs="Arial" w:eastAsia="Arial" w:hAnsi="Arial"/>
                <w:sz w:val="18"/>
                <w:szCs w:val="18"/>
                <w:color w:val="auto"/>
              </w:rPr>
              <w:t>Less: lease liabilities, current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 noncurrent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 AND STOCKHOLDERS’ EQUITY</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Redeemable Convertible Preferred Stock</w:t>
      </w:r>
      <w:r>
        <w:rPr>
          <w:rFonts w:ascii="Arial" w:cs="Arial" w:eastAsia="Arial" w:hAnsi="Arial"/>
          <w:sz w:val="18"/>
          <w:szCs w:val="18"/>
          <w:color w:val="auto"/>
        </w:rPr>
        <w:t>—The total number of Series A redeemable convertible preferred stock authorized for issuance is</w:t>
      </w:r>
      <w:r>
        <w:rPr>
          <w:rFonts w:ascii="Arial" w:cs="Arial" w:eastAsia="Arial" w:hAnsi="Arial"/>
          <w:sz w:val="18"/>
          <w:szCs w:val="18"/>
          <w:b w:val="1"/>
          <w:bCs w:val="1"/>
          <w:color w:val="auto"/>
        </w:rPr>
        <w:t xml:space="preserve"> </w:t>
      </w:r>
      <w:r>
        <w:rPr>
          <w:rFonts w:ascii="Arial" w:cs="Arial" w:eastAsia="Arial" w:hAnsi="Arial"/>
          <w:sz w:val="18"/>
          <w:szCs w:val="18"/>
          <w:color w:val="auto"/>
        </w:rPr>
        <w:t>8.7 million shares. There were 7.7 million shares of Series A redeemable convertible preferred stock issued and outstanding as of December 31, 2019 and 2020, and 7.5 million shares issued and outstanding as of September 30, 2021 (unaudited).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rights and preferences of the redeemable convertible preferred stock are as follows: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Dividend Rights</w:t>
      </w:r>
      <w:r>
        <w:rPr>
          <w:rFonts w:ascii="Arial" w:cs="Arial" w:eastAsia="Arial" w:hAnsi="Arial"/>
          <w:sz w:val="17"/>
          <w:szCs w:val="17"/>
          <w:color w:val="auto"/>
        </w:rPr>
        <w:t>—The Corporation shall not declare, pay or set aside any dividends on shares of any other class or series of capital stock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unless the holders of the Series A redeemable convertible preferred stock then outstanding shall first receive, or simultaneously receive, out of funds legally available therefore, a noncumulative dividend on each outstanding share of Series A redeemable convertible preferred stock in an amount equal to eight percent (8%) of the Series A original issue price. The foregoing dividends shall be paid when and if declared by the Board. The Series A original issue price shall mean $8.97960 per share, subject to appropriate adjustment in the event of any stock dividend, stock split, combination or other similar recapitalization with respect to the Series A redeemable convertible preferred stock. No dividends have been declared or paid by the Company as of December 31, 2019 and 2020, or September 30, 2021 (unaudited).</w:t>
      </w:r>
    </w:p>
    <w:p>
      <w:pPr>
        <w:spacing w:after="0" w:line="12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Conversion Rights</w:t>
      </w:r>
      <w:r>
        <w:rPr>
          <w:rFonts w:ascii="Arial" w:cs="Arial" w:eastAsia="Arial" w:hAnsi="Arial"/>
          <w:sz w:val="16"/>
          <w:szCs w:val="16"/>
          <w:color w:val="auto"/>
        </w:rPr>
        <w:t>—Each share of Series A redeemable convertible preferred stock shall be convertible, at the option of the holder thereof, at any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from time to time, and without the payment of additional consideration by the holder thereof, into such number of fully paid and non-assessable shares of Class A common stock as is determined by dividing the Series A original issue price by the Series A Conversion Price (as defined below) in effect at the time of conversion. The “Series A Conversion Price” shall initially be equal to $8.97960. Such initial Series A Conversion Price, and the rate at which shares of Series A redeemable convertible preferred stock may be converted into shares of Class A common stock, shall be subject to adjustments. Such adjustments include standard antidilution provisions, as well as a provision which is triggered in the event that the Company consummates the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F-28</w:t>
      </w:r>
    </w:p>
    <w:p>
      <w:pPr>
        <w:sectPr>
          <w:pgSz w:w="11900" w:h="16838" w:orient="portrait"/>
          <w:cols w:equalWidth="0" w:num="1">
            <w:col w:w="11240"/>
          </w:cols>
          <w:pgMar w:left="320" w:top="175" w:right="339" w:bottom="1440" w:gutter="0" w:footer="0" w:header="0"/>
          <w:type w:val="continuous"/>
        </w:sectPr>
      </w:pPr>
    </w:p>
    <w:bookmarkStart w:id="188" w:name="page189"/>
    <w:bookmarkEnd w:id="188"/>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sale of common shares to the public at a price of less than two times the original issue price, or $17.9592 per share. In the event such latter provision is triggered, the Series A Conversion Price will be adjusted immediately prior to the consummation of the public offering to provide that each share of Series A redeemable convertible preferred stock will convert into a number of shares of Class A common stock with an aggregate value, based on the initial public offering price, equal to two times the original issue price of such shares of redeemable convertible preferred stock, or $17.9592 per share.</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conversion rights terminate (a) in the event of a notice of redemption of any shares of Series A redeemable convertible preferred stock, at the close of business on the last full day preceding the date fixed for redemption or (b) in the event of a liquidation, dissolution or winding up of the Company or a deemed liquidation event, at the close of business on the last full day preceding the date fixed for payment of any such amount distributable on such event to the holders of the Series A redeemable convertible preferred stock.</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fractional shares of Class A common stock shall be issued upon conversion of the Series A redeemable convertible preferred stock. The holder shall receive cash equal to such fraction of the common stock times the fair market value of the share of the common stock. Upon notice of conversion, the Company shall issue the number of full shares of common stock, pay in cash the amount of fractional shares, and pay all declared but unpaid dividends on the shares of preferred stock converted.</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Liquidation Rights</w:t>
      </w:r>
      <w:r>
        <w:rPr>
          <w:rFonts w:ascii="Arial" w:cs="Arial" w:eastAsia="Arial" w:hAnsi="Arial"/>
          <w:sz w:val="18"/>
          <w:szCs w:val="18"/>
          <w:color w:val="auto"/>
        </w:rPr>
        <w:t>—In the event of any liquidation, dissolution, or winding up of the Company, either voluntary or involuntary,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A redeemable convertible preferred stock shall be entitled to receive prior and in preference to any distribution from the proceeds of the liquidation event of the Company to the holders of the common stock by reason of their ownership thereof, the greater of (i) an amount equal to the original issue price per share of $8.97960, plus any dividends declared but unpaid thereon or (ii) such amount per share as would have been payable had all shares of Series A redeemable convertible preferred stock been converted into common stock immediately prior to such liquidation, dissolution, winding up or deemed liquidation event.</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After the payment of all preferential amounts required to be paid to the holders of the shares of Series A redeemable convertible preferred stock, the remaining assets the Company available for distribution shall be distributed among the holders of the shares of common stock, pro rata based on the number of shares held by each such holder, treating for this purpose all such securities as if they had been converted to common stock.</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—Each share of Series A convertible redeemable preferred stock has voting rights equal to the number of common shares into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A preferred stock could be converted on the record date for determining stockholders entitled to vote on such matter. Holders of the Series A convertible redeemable preferred stock shall vote together with the holders of common stock as a single class, except as otherwise provided in the Second Amended and Restated Articles of Incorporation.</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holders of shares of Series A redeemable convertible preferred stock, exclusively and as a separate class, shall be entitled to elect two members of the board of directors. The holders of shares of Class F common stock, exclusively and as a separate class, shall be entitled to elect one director. The holders of record of the shares of common stock, voting as a separate class, and the holders of record of the shares of Series A redeemable convertible preferred stock, voting as a separate class and on an as-converted to common stock basis, shall be entitled to elect two directors.</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—Upon written notice requesting redemption by a majority of the then outstanding shares of Series A redeemable convertible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shares of Series A redeemable convertible preferred stock shall be redeemed by the Company at a price equal to the greater of (a) the Series A original issue price per share, plus all declared but unpaid dividends thereon and (b) the fair market value of a single share of Series A redeemable convertible preferred stock as of the date of the Company’s receipt of the redemption request, in three annual installments commencing not more than sixty days after receipt by the corporation at any time on or after March 1, 2024. Such redemption could occur outside of the control of the Company, and accordingly, all shares of redeemable convertible preferred stock have been presented outside of permanent equity in the accompanying consolidated balance sheets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F-29</w:t>
      </w:r>
    </w:p>
    <w:p>
      <w:pPr>
        <w:sectPr>
          <w:pgSz w:w="11900" w:h="16838" w:orient="portrait"/>
          <w:cols w:equalWidth="0" w:num="1">
            <w:col w:w="11240"/>
          </w:cols>
          <w:pgMar w:left="320" w:top="175" w:right="339" w:bottom="1440" w:gutter="0" w:footer="0" w:header="0"/>
        </w:sectPr>
      </w:pPr>
    </w:p>
    <w:bookmarkStart w:id="189" w:name="page190"/>
    <w:bookmarkEnd w:id="189"/>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Series A redeemable convertible preferred stock is contingently redeemable and as the redemption price is subject to change, changes in the estimate of the redemption price are necessary. The Company has elected to recognize changes in the redemption value immediately as they occur and adjust the carrying value of the security to the redemption value at the end of each reporting period so long as it is probable that the instrument will become redeemable. As of December 31, 2020 and September 30, 2021 (unaudited), the redemption was not deemed probable of becoming redeemable and therefore the Company has not made any adjustments to the carrying value of the Series A redeemable convertible preferred stock.</w:t>
      </w:r>
    </w:p>
    <w:p>
      <w:pPr>
        <w:spacing w:after="0" w:line="10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Common Stock</w:t>
      </w:r>
      <w:r>
        <w:rPr>
          <w:rFonts w:ascii="Arial" w:cs="Arial" w:eastAsia="Arial" w:hAnsi="Arial"/>
          <w:sz w:val="16"/>
          <w:szCs w:val="16"/>
          <w:color w:val="auto"/>
        </w:rPr>
        <w:t>—As of December 31, 2020 and September 30, 2021 (unaudited) the Company had 127.5 million common shares authorized for</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consisting of 77.5 million shares of Class A common stock, 35.0 million shares of Class F common stock, and 15.0 million shares of Class G common stock, each with a par value of $0.0001 per share. Holders of all classes of common stock are entitled to dividends when, as and if, declared by our Board of Directors, subject to the rights of the holders of all classes of stock outstanding having priority rights to dividends. The holder of each share of Class A common stock is entitled to one vote, while the holder of each share of Class F common stock is entitled to 10 votes and the holder of Class G common stock is not entitled to vote. Shares of the Class F common stock and the Class G common stock are convertible into an equivalent number of shares of Class A common stock and generally convert into shares of Class A common stock upon Transfer, as defined below. Class F common stock is convertible at the option of the holder at any time upon written notice to the transfer agent of the corporation and is automatically convertible upon Transfer. Class G common stock is not convertible at the option of the holder and is only automatically convertible upon Transfer.</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Transfer is defined as any sale, assignment, transfer, conveyance, hypothecation or other transfer or disposition of such share or any legal or beneficial interest in such share, whether or not for value and whether voluntary or involuntary or by operation of law. As of December 31, 2019 and 2020 and September 30, 2021 (unaudited), there were 8.0 million, 15.1 million and 18.3 million shares of Class A common stock issued and outstanding, respectively. As of December 31, 2019 and 2020 and September 30, 2021 (unaudited), there were 34.3 million, 33.8 million and 31.7 million shares of Class F common stock, respectively, and no shares of Class G common stock issued and outstanding.</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November 2020, the Company entered into a Class A Common Stock Purchase Agreement to sell shares of Class A common stock at $14.00 per share. The Company sold and issued approximately 3.9 million shares for gross proceeds of $54.3 million.</w:t>
      </w:r>
    </w:p>
    <w:p>
      <w:pPr>
        <w:spacing w:after="0" w:line="11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Common Stock Transfers</w:t>
      </w:r>
      <w:r>
        <w:rPr>
          <w:rFonts w:ascii="Arial" w:cs="Arial" w:eastAsia="Arial" w:hAnsi="Arial"/>
          <w:sz w:val="18"/>
          <w:szCs w:val="18"/>
          <w:color w:val="auto"/>
        </w:rPr>
        <w:t>—In February 2020, four new investors led an offer to purchase approximately 1.7 million shares of Class A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from existing employees and service providers that hold common stock and vested options at a price of $14.00 per share for an aggregate repurchase price of $23.8 million. The transaction was initiated by, and the purchase price was set by, the new investors. No compensation expense was recorded on the transaction as management concluded that it was not a mechanism to provide compensation to employees, but rather an arms-length transaction between willing buyers and willing sellers, at a price per share determined by a third party.</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2020, the Company waived its right of first refusal and the CEO entered into a stock transfer agreement to sell approximately 0.5 million shares of Class F common stock to a third party at $14.00 per share for an aggregate purchase price of $7.7 million. Upon consummation of the sale to the third party, the 0.5 million shares of Class F common stock were automatically converted into shares of Class A common stock on a 1:1 basis in accordance with the rights and preferences of the Class F common stock. No compensation expense was recorded on this transaction as management concluded that it was not a mechanism to provide compensation to employees, but rather an arms-length transaction between willing buyers and willing sellers, at a price per share determined by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F-30</w:t>
      </w:r>
    </w:p>
    <w:p>
      <w:pPr>
        <w:sectPr>
          <w:pgSz w:w="11900" w:h="16838" w:orient="portrait"/>
          <w:cols w:equalWidth="0" w:num="1">
            <w:col w:w="11240"/>
          </w:cols>
          <w:pgMar w:left="320" w:top="175" w:right="339" w:bottom="1440" w:gutter="0" w:footer="0" w:header="0"/>
        </w:sectPr>
      </w:pPr>
    </w:p>
    <w:bookmarkStart w:id="190" w:name="page191"/>
    <w:bookmarkEnd w:id="190"/>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Class A Common Shares Reserved for Future Issuance</w:t>
      </w:r>
      <w:r>
        <w:rPr>
          <w:rFonts w:ascii="Arial" w:cs="Arial" w:eastAsia="Arial" w:hAnsi="Arial"/>
          <w:sz w:val="18"/>
          <w:szCs w:val="18"/>
          <w:color w:val="auto"/>
        </w:rPr>
        <w:t>—The Company had reserved the following shares of Class A common stock for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63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7340" w:type="dxa"/>
            <w:vAlign w:val="bottom"/>
            <w:gridSpan w:val="2"/>
          </w:tcPr>
          <w:p>
            <w:pPr>
              <w:ind w:left="700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63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r>
      <w:tr>
        <w:trPr>
          <w:trHeight w:val="26"/>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Shares outstanding from stock options and restricted stock units</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12,146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9,786</w:t>
            </w:r>
          </w:p>
        </w:tc>
      </w:tr>
      <w:tr>
        <w:trPr>
          <w:trHeight w:val="27"/>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reserved for Series A redeemable convertible preferred stock</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7,527</w:t>
            </w: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Shares reserved for Class F common stock</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34,319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33,783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31,686</w:t>
            </w:r>
          </w:p>
        </w:tc>
      </w:tr>
      <w:tr>
        <w:trPr>
          <w:trHeight w:val="27"/>
        </w:trPr>
        <w:tc>
          <w:tcPr>
            <w:tcW w:w="6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available for grant</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63"/>
        </w:trPr>
        <w:tc>
          <w:tcPr>
            <w:tcW w:w="6360" w:type="dxa"/>
            <w:vAlign w:val="bottom"/>
          </w:tcPr>
          <w:p>
            <w:pPr>
              <w:ind w:left="20"/>
              <w:spacing w:after="0"/>
              <w:rPr>
                <w:sz w:val="20"/>
                <w:szCs w:val="20"/>
                <w:color w:val="auto"/>
              </w:rPr>
            </w:pPr>
            <w:r>
              <w:rPr>
                <w:rFonts w:ascii="Arial" w:cs="Arial" w:eastAsia="Arial" w:hAnsi="Arial"/>
                <w:sz w:val="18"/>
                <w:szCs w:val="18"/>
                <w:color w:val="auto"/>
              </w:rPr>
              <w:t>Total shares reserved</w:t>
            </w:r>
          </w:p>
        </w:tc>
        <w:tc>
          <w:tcPr>
            <w:tcW w:w="9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55,285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51,991</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50,249</w:t>
            </w:r>
          </w:p>
        </w:tc>
      </w:tr>
      <w:tr>
        <w:trPr>
          <w:trHeight w:val="20"/>
        </w:trPr>
        <w:tc>
          <w:tcPr>
            <w:tcW w:w="6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Equity Incentive Plan</w:t>
      </w:r>
      <w:r>
        <w:rPr>
          <w:rFonts w:ascii="Arial" w:cs="Arial" w:eastAsia="Arial" w:hAnsi="Arial"/>
          <w:sz w:val="17"/>
          <w:szCs w:val="17"/>
          <w:color w:val="auto"/>
        </w:rPr>
        <w:t>—In 2012, the Company’s Board of Directors approved the adoption of the 2012 Equity Incentive Plan (the “Plan”).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for the grant of incentive and non-statutory stock options, stock appreciation rights, restricted stock units, and restricted stock awards to employees, non-employee directors, and consultants of the Company. Options to purchase Class A common stock granted under the Plan continue to vest until the last day of employment and generally will vest 25% in the first year and monthly thereafter over 4 years, and expire 10 years from the date of grant. Class A common stock awards are generally issued to officers, directors, employees and consultants, and vest according to an award-specific schedule as approved by the Board of Directors. The Plan was authorized to grant share-based awards for up to 21.0 million shares of common stock as of December 31, 2019 and 2020, and 23.5 million shares of common stock as of September 30, 2021 (unaudited).</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exercise price of incentive stock options granted under the Plan must be at least equal to 100% of the fair market value of the Company’s Class A common stock at the date of grant, as determined by the Board of Directors. The exercise price must not be less than 110% of the fair market value of the Company’s Class A common stock at the date of grant for incentive stock options granted to an employee that owns greater than 10% of the Company stock.</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for its Plan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144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Aggregate Intrinsic</w:t>
            </w:r>
          </w:p>
        </w:tc>
      </w:tr>
      <w:tr>
        <w:trPr>
          <w:trHeight w:val="162"/>
        </w:trPr>
        <w:tc>
          <w:tcPr>
            <w:tcW w:w="5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Exercise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r>
      <w:tr>
        <w:trPr>
          <w:trHeight w:val="186"/>
        </w:trPr>
        <w:tc>
          <w:tcPr>
            <w:tcW w:w="51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r>
      <w:tr>
        <w:trPr>
          <w:trHeight w:val="25"/>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1,101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(1,852)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6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Granted (unaudited)</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 (unaudited)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Cancelled/forfeited (unaudited)</w:t>
            </w:r>
          </w:p>
        </w:tc>
        <w:tc>
          <w:tcPr>
            <w:tcW w:w="1440" w:type="dxa"/>
            <w:vAlign w:val="bottom"/>
          </w:tcPr>
          <w:p>
            <w:pPr>
              <w:jc w:val="right"/>
              <w:spacing w:after="0"/>
              <w:rPr>
                <w:sz w:val="20"/>
                <w:szCs w:val="20"/>
                <w:color w:val="auto"/>
              </w:rPr>
            </w:pPr>
            <w:r>
              <w:rPr>
                <w:rFonts w:ascii="Arial" w:cs="Arial" w:eastAsia="Arial" w:hAnsi="Arial"/>
                <w:sz w:val="18"/>
                <w:szCs w:val="18"/>
                <w:color w:val="auto"/>
              </w:rPr>
              <w:t>(862)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6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2021 (unaudited)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Vested and exercisable as of December 31, 2020</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 as of September 30, 2021 (unaudited)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7"/>
        </w:trPr>
        <w:tc>
          <w:tcPr>
            <w:tcW w:w="5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F-31</w:t>
      </w:r>
    </w:p>
    <w:p>
      <w:pPr>
        <w:sectPr>
          <w:pgSz w:w="11900" w:h="16838" w:orient="portrait"/>
          <w:cols w:equalWidth="0" w:num="1">
            <w:col w:w="11240"/>
          </w:cols>
          <w:pgMar w:left="320" w:top="175" w:right="339" w:bottom="1440" w:gutter="0" w:footer="0" w:header="0"/>
        </w:sectPr>
      </w:pPr>
    </w:p>
    <w:bookmarkStart w:id="191" w:name="page192"/>
    <w:bookmarkEnd w:id="191"/>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weighted-average grant-date fair value of options granted during the years ended December 31, 2019 and 2020 and nine months ended September 30, 2021 (unaudited) was $4.52, $6.28 and $10.40 per share, respectively. The intrinsic value of options exercised was $3.7 million, $25.9 million and $19.6 million during the years ended December 31, 2019 and 2020 and nine months ended September 30, 2021 (unaudited), respectively. Tax benefits from the exercise of stock options during the years ended December 31, 2019 and 2020 were $0.3 million and $4.7 million, including excess tax benefits of an immaterial amount and $3.7 million, respectively. No tax benefits from the exercise of stock options during the nine months ended September 30, 2021 (unaudited) were recognized due to the establishment of a valuation allowance.</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and September 30, 2021 (unaudited), there was $15.3 million and $15.1 million, respectively, of total unrecognized compensation cost related to non-vested stock options granted under the Plan, with the cost expected to be recognized over a weighted-average period of 2.6 years and 2.8 years, respectively.</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estimates the fair values of options awarded on the date of grant using the Black-Scholes-Merton option-pricing model, which requires inputs, including the fair value of common stock, expected term, expected volatility, risk-free interest, and dividend yield.</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estimates the expected term of options using the simplified method described in Staff Accounting Bulletin Topic 14, as amended, as it does not have sufficient historical experience for determining the expected term of the awards granted. Since the Company’s shares are not publicly traded, expected volatility is estimated based on the average historical volatility of similar entities with publicly traded shares. The risk-free rate for the expected term of the option is based on the U.S. Treasury yield curve at the date of grant. The expected dividend yield was 0% as the Company has not paid, and does not expect to pay cash dividends. Given the absence of a public trading market, the Company’s Board of Directors considered numerous objective and subjective factors to determine the fair value of the Company’s Class A common stock at each meeting at which awards were approved. These factors included, but were not limited to (i) contemporaneous third-party valuations of Class A common stock; (ii) the rights and preferences of Redeemable Convertible Preferred Stock compared to Class A common stock; (iii) the lack of marketability of Class A common stock; (iv) developments in the business; and (v) the likelihood of achieving a liquidity event, such as an IPO or sale of the Company, given prevailing market conditions.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per-share fair value of each stock option was determined on the date of grant using the following weighted-average assumptions and ranges of fair value of common stock:</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2280" w:type="dxa"/>
            <w:vAlign w:val="bottom"/>
            <w:gridSpan w:val="3"/>
          </w:tcPr>
          <w:p>
            <w:pPr>
              <w:jc w:val="center"/>
              <w:ind w:left="1117"/>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280" w:type="dxa"/>
            <w:vAlign w:val="bottom"/>
            <w:gridSpan w:val="3"/>
          </w:tcPr>
          <w:p>
            <w:pPr>
              <w:jc w:val="center"/>
              <w:ind w:left="1117"/>
              <w:spacing w:after="0"/>
              <w:rPr>
                <w:sz w:val="20"/>
                <w:szCs w:val="20"/>
                <w:color w:val="auto"/>
              </w:rPr>
            </w:pPr>
            <w:r>
              <w:rPr>
                <w:rFonts w:ascii="Arial" w:cs="Arial" w:eastAsia="Arial" w:hAnsi="Arial"/>
                <w:sz w:val="14"/>
                <w:szCs w:val="14"/>
                <w:b w:val="1"/>
                <w:bCs w:val="1"/>
                <w:color w:val="auto"/>
                <w:w w:val="92"/>
              </w:rPr>
              <w:t>December 31,</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6"/>
                <w:szCs w:val="16"/>
                <w:color w:val="auto"/>
              </w:rPr>
            </w:pPr>
          </w:p>
        </w:tc>
        <w:tc>
          <w:tcPr>
            <w:tcW w:w="1700" w:type="dxa"/>
            <w:vAlign w:val="bottom"/>
          </w:tcPr>
          <w:p>
            <w:pPr>
              <w:jc w:val="right"/>
              <w:ind w:right="6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28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0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$7.80-$12.00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$10.56-$14.00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$14.00-$21.44</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modified the terms of approximately 0.4 million, 1.0 million and 0.6 million stock options, respectively, in connection with various termination agreements during the year ended December 31, 2019 and 2020, and the nine months ended September 30, 2021 (unaudited). These modifications resulted in additional stock-based compensation expense of $0.1 million, $0.2 million, and $0.3 million, respectively, which was fully recognized at the modification date and included within sales and marketing and general and administrative expense in the consolidated statement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F-32</w:t>
      </w:r>
    </w:p>
    <w:p>
      <w:pPr>
        <w:sectPr>
          <w:pgSz w:w="11900" w:h="16838" w:orient="portrait"/>
          <w:cols w:equalWidth="0" w:num="1">
            <w:col w:w="11240"/>
          </w:cols>
          <w:pgMar w:left="320" w:top="175" w:right="339" w:bottom="1440" w:gutter="0" w:footer="0" w:header="0"/>
        </w:sectPr>
      </w:pPr>
    </w:p>
    <w:bookmarkStart w:id="192" w:name="page193"/>
    <w:bookmarkEnd w:id="192"/>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2019, the Company entered into an Option Cancellation Agreement with a former member of our board of directors and an affiliated entity, pursuant to which the Company cancelled an option to purchase 0.1 million shares of Class A common stock held by Camelot Financial Capital Management LLC for consideration equal to $10.20 per share, minus the exercise price for the shares underlying such option. The total consideration paid to Camelot Financial Capital Management LLC was $0.8 million.</w:t>
      </w:r>
    </w:p>
    <w:p>
      <w:pPr>
        <w:spacing w:after="0" w:line="1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Performance-based Options</w:t>
      </w:r>
      <w:r>
        <w:rPr>
          <w:rFonts w:ascii="Arial" w:cs="Arial" w:eastAsia="Arial" w:hAnsi="Arial"/>
          <w:sz w:val="17"/>
          <w:szCs w:val="17"/>
          <w:color w:val="auto"/>
        </w:rPr>
        <w:t>—Under the Plan, the Company has granted certain key employees performance-based stock options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2.0 million shares in June 2018 to incentivize their performance and retention. Subject to the employees’ continued employment with the Company, the performance-based stock options would fully vest in the first quarter of fiscal year 2021 if certain performance metrics are achieved in the year 2020. Performance metrics include both financial performance and non-financial performance. For awards that include a performance condition, compensation expense is recognized when the performance condition is probable of being achieved, at which time the cumulative compensation expense from the grant date will be recognized. As of the grant date, the options were valued using the Black-Scholes-Merton option-pricing model based on the consistent assumption used for the options issued to employees of the Company. As of December 31, 2019, the Company had 1.1 million performance-based stock options outstanding with a total grant-date fair value of $3.4 million. As of December 31, 2020, the Company had no performance-based stock options outstanding as the Company determined that the performance metrics were unlikely to be met and the stock options were canceled during 2020. Accordingly compensation cost associated with unvested options at the date the plan was canceled was reversed. For the years ended December 31, 2019 and 2020, the Company recorded $0.6 million and $(0.6) million, respectively, of stock-based compensation expense (credit) associated with the performance-based options.</w:t>
      </w:r>
    </w:p>
    <w:p>
      <w:pPr>
        <w:spacing w:after="0" w:line="1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—The Plan also provides for the issuance of RSUs of the Company’s common stock to eligible participants. During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2020, the Company began issuing RSUs to certain employees and directors under the Plan. These RSUs are subject to service-based vesting conditions. The service-based vesting condition is generally satisfied over four years.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outstanding nonvested RSUs for its Plan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560" w:type="dxa"/>
            <w:vAlign w:val="bottom"/>
          </w:tcPr>
          <w:p>
            <w:pPr>
              <w:jc w:val="right"/>
              <w:ind w:right="17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Weighted Average</w:t>
            </w:r>
          </w:p>
        </w:tc>
      </w:tr>
      <w:tr>
        <w:trPr>
          <w:trHeight w:val="186"/>
        </w:trPr>
        <w:tc>
          <w:tcPr>
            <w:tcW w:w="8020" w:type="dxa"/>
            <w:vAlign w:val="bottom"/>
          </w:tcPr>
          <w:p>
            <w:pPr>
              <w:spacing w:after="0"/>
              <w:rPr>
                <w:sz w:val="16"/>
                <w:szCs w:val="16"/>
                <w:color w:val="auto"/>
              </w:rPr>
            </w:pPr>
          </w:p>
        </w:tc>
        <w:tc>
          <w:tcPr>
            <w:tcW w:w="1560" w:type="dxa"/>
            <w:vAlign w:val="bottom"/>
          </w:tcPr>
          <w:p>
            <w:pPr>
              <w:jc w:val="right"/>
              <w:ind w:right="25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Grant Date Fair Value</w:t>
            </w:r>
          </w:p>
        </w:tc>
      </w:tr>
      <w:tr>
        <w:trPr>
          <w:trHeight w:val="25"/>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December 31, 2019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1,483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12.78</w:t>
            </w:r>
          </w:p>
        </w:tc>
      </w:tr>
      <w:tr>
        <w:trPr>
          <w:trHeight w:val="27"/>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6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Granted (unaudited)</w:t>
            </w:r>
          </w:p>
        </w:tc>
        <w:tc>
          <w:tcPr>
            <w:tcW w:w="1560" w:type="dxa"/>
            <w:vAlign w:val="bottom"/>
          </w:tcPr>
          <w:p>
            <w:pPr>
              <w:jc w:val="right"/>
              <w:spacing w:after="0"/>
              <w:rPr>
                <w:sz w:val="20"/>
                <w:szCs w:val="20"/>
                <w:color w:val="auto"/>
              </w:rPr>
            </w:pPr>
            <w:r>
              <w:rPr>
                <w:rFonts w:ascii="Arial" w:cs="Arial" w:eastAsia="Arial" w:hAnsi="Arial"/>
                <w:sz w:val="18"/>
                <w:szCs w:val="18"/>
                <w:color w:val="auto"/>
              </w:rPr>
              <w:t>2,163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19.04</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(unaudited)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r>
      <w:tr>
        <w:trPr>
          <w:trHeight w:val="27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(unaudited)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14.80</w:t>
            </w: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September 30, 2021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total fair value of RSUs that vested during the year ended December 31, 2020 was $1.0 million, and during the nine months ended September 30, 2021 (unaudited) was $5.7 million. Tax benefits from vesting of RSUs were not material for the year ended December 31, 2020, and there were no tax benefits recognized for the nine months ended September 30, 2021 (unaudited) due to the establishment of a valuation allowance.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and September 30, 2021 (unaudited), there was approximately $16.5 million and $45.8 million, respectively, of unrecognized compensation cost related to RSUs, with these costs expected to be recognized over a weighted-average period of approximately 3.6 years and 3.4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F-33</w:t>
      </w:r>
    </w:p>
    <w:p>
      <w:pPr>
        <w:sectPr>
          <w:pgSz w:w="11900" w:h="16838" w:orient="portrait"/>
          <w:cols w:equalWidth="0" w:num="1">
            <w:col w:w="11240"/>
          </w:cols>
          <w:pgMar w:left="320" w:top="175" w:right="339" w:bottom="1440" w:gutter="0" w:footer="0" w:header="0"/>
        </w:sectPr>
      </w:pPr>
    </w:p>
    <w:bookmarkStart w:id="193" w:name="page194"/>
    <w:bookmarkEnd w:id="193"/>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recognized stock-based compensation expense under the Plan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6"/>
        </w:trPr>
        <w:tc>
          <w:tcPr>
            <w:tcW w:w="5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5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ind w:left="3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6"/>
        </w:trPr>
        <w:tc>
          <w:tcPr>
            <w:tcW w:w="5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ind w:left="86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21"/>
                <w:szCs w:val="21"/>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63"/>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1"/>
        </w:trPr>
        <w:tc>
          <w:tcPr>
            <w:tcW w:w="5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$1.1 million and $1.6 million of stock-based compensation for the years ended December 31, 2019 and 2020, respectively, and $1.2 million and $2.2 million for the nine months ended September 30, 2020 and 2021 (unaudited), respectively, was capitalized related to software development costs.</w:t>
      </w:r>
    </w:p>
    <w:p>
      <w:pPr>
        <w:spacing w:after="0" w:line="126" w:lineRule="exact"/>
        <w:rPr>
          <w:sz w:val="20"/>
          <w:szCs w:val="20"/>
          <w:color w:val="auto"/>
        </w:rPr>
      </w:pPr>
    </w:p>
    <w:p>
      <w:pPr>
        <w:ind w:left="640" w:hanging="632"/>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Income before the provision for (benefit from) income taxes consisted of the following for the years ended December 31, 2019 and 2020,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2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r>
      <w:tr>
        <w:trPr>
          <w:trHeight w:val="216"/>
        </w:trPr>
        <w:tc>
          <w:tcPr>
            <w:tcW w:w="80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8"/>
                <w:szCs w:val="18"/>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Foreign</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10"/>
              <w:spacing w:after="0"/>
              <w:rPr>
                <w:sz w:val="20"/>
                <w:szCs w:val="20"/>
                <w:color w:val="auto"/>
              </w:rPr>
            </w:pPr>
            <w:r>
              <w:rPr>
                <w:rFonts w:ascii="Arial" w:cs="Arial" w:eastAsia="Arial" w:hAnsi="Arial"/>
                <w:sz w:val="18"/>
                <w:szCs w:val="18"/>
                <w:color w:val="auto"/>
                <w:w w:val="97"/>
              </w:rPr>
              <w:t>(1.0)</w:t>
            </w:r>
          </w:p>
        </w:tc>
      </w:tr>
      <w:tr>
        <w:trPr>
          <w:trHeight w:val="27"/>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0.9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for income taxes for the years ended December 31, 2019 and 2020,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2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r>
      <w:tr>
        <w:trPr>
          <w:trHeight w:val="216"/>
        </w:trPr>
        <w:tc>
          <w:tcPr>
            <w:tcW w:w="802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8"/>
                <w:szCs w:val="18"/>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Federal</w:t>
            </w:r>
          </w:p>
        </w:tc>
        <w:tc>
          <w:tcPr>
            <w:tcW w:w="1100" w:type="dxa"/>
            <w:vAlign w:val="bottom"/>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Deferred:</w:t>
            </w: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State</w:t>
            </w: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63"/>
        </w:trPr>
        <w:tc>
          <w:tcPr>
            <w:tcW w:w="8020" w:type="dxa"/>
            <w:vAlign w:val="bottom"/>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8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F-34</w:t>
      </w:r>
    </w:p>
    <w:p>
      <w:pPr>
        <w:sectPr>
          <w:pgSz w:w="11900" w:h="16838" w:orient="portrait"/>
          <w:cols w:equalWidth="0" w:num="1">
            <w:col w:w="11240"/>
          </w:cols>
          <w:pgMar w:left="320" w:top="175" w:right="339" w:bottom="1440" w:gutter="0" w:footer="0" w:header="0"/>
        </w:sectPr>
      </w:pPr>
    </w:p>
    <w:bookmarkStart w:id="194" w:name="page195"/>
    <w:bookmarkEnd w:id="194"/>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reconciliation of the statutory federal income tax rate to the Company’s effective tax rate for the years ended December 31, 2019 and 2020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2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r>
      <w:tr>
        <w:trPr>
          <w:trHeight w:val="216"/>
        </w:trPr>
        <w:tc>
          <w:tcPr>
            <w:tcW w:w="802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8"/>
                <w:szCs w:val="18"/>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at federal statutory rate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0.4</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30"/>
              <w:spacing w:after="0"/>
              <w:rPr>
                <w:sz w:val="20"/>
                <w:szCs w:val="20"/>
                <w:color w:val="auto"/>
              </w:rPr>
            </w:pPr>
            <w:r>
              <w:rPr>
                <w:rFonts w:ascii="Arial" w:cs="Arial" w:eastAsia="Arial" w:hAnsi="Arial"/>
                <w:sz w:val="18"/>
                <w:szCs w:val="18"/>
                <w:color w:val="auto"/>
                <w:w w:val="87"/>
              </w:rPr>
              <w:t>0.5</w:t>
            </w:r>
          </w:p>
        </w:tc>
      </w:tr>
      <w:tr>
        <w:trPr>
          <w:trHeight w:val="27"/>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0.2</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10"/>
              <w:spacing w:after="0"/>
              <w:rPr>
                <w:sz w:val="20"/>
                <w:szCs w:val="20"/>
                <w:color w:val="auto"/>
              </w:rPr>
            </w:pPr>
            <w:r>
              <w:rPr>
                <w:rFonts w:ascii="Arial" w:cs="Arial" w:eastAsia="Arial" w:hAnsi="Arial"/>
                <w:sz w:val="18"/>
                <w:szCs w:val="18"/>
                <w:color w:val="auto"/>
                <w:w w:val="97"/>
              </w:rPr>
              <w:t>(3.1)</w:t>
            </w:r>
          </w:p>
        </w:tc>
      </w:tr>
      <w:tr>
        <w:trPr>
          <w:trHeight w:val="27"/>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(4.9)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30"/>
              <w:spacing w:after="0"/>
              <w:rPr>
                <w:sz w:val="20"/>
                <w:szCs w:val="20"/>
                <w:color w:val="auto"/>
              </w:rPr>
            </w:pPr>
            <w:r>
              <w:rPr>
                <w:rFonts w:ascii="Arial" w:cs="Arial" w:eastAsia="Arial" w:hAnsi="Arial"/>
                <w:sz w:val="18"/>
                <w:szCs w:val="18"/>
                <w:color w:val="auto"/>
                <w:w w:val="87"/>
              </w:rPr>
              <w:t>1.1</w:t>
            </w:r>
          </w:p>
        </w:tc>
      </w:tr>
      <w:tr>
        <w:trPr>
          <w:trHeight w:val="27"/>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contingency &amp; interest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1.1</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30"/>
              <w:spacing w:after="0"/>
              <w:rPr>
                <w:sz w:val="20"/>
                <w:szCs w:val="20"/>
                <w:color w:val="auto"/>
              </w:rPr>
            </w:pPr>
            <w:r>
              <w:rPr>
                <w:rFonts w:ascii="Arial" w:cs="Arial" w:eastAsia="Arial" w:hAnsi="Arial"/>
                <w:sz w:val="18"/>
                <w:szCs w:val="18"/>
                <w:color w:val="auto"/>
                <w:w w:val="87"/>
              </w:rPr>
              <w:t>0.1</w:t>
            </w:r>
          </w:p>
        </w:tc>
      </w:tr>
      <w:tr>
        <w:trPr>
          <w:trHeight w:val="27"/>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0.2</w:t>
            </w:r>
          </w:p>
        </w:tc>
      </w:tr>
      <w:tr>
        <w:trPr>
          <w:trHeight w:val="263"/>
        </w:trPr>
        <w:tc>
          <w:tcPr>
            <w:tcW w:w="8020" w:type="dxa"/>
            <w:vAlign w:val="bottom"/>
          </w:tcPr>
          <w:p>
            <w:pPr>
              <w:ind w:left="20"/>
              <w:spacing w:after="0"/>
              <w:rPr>
                <w:sz w:val="20"/>
                <w:szCs w:val="20"/>
                <w:color w:val="auto"/>
              </w:rPr>
            </w:pPr>
            <w:r>
              <w:rPr>
                <w:rFonts w:ascii="Arial" w:cs="Arial" w:eastAsia="Arial" w:hAnsi="Arial"/>
                <w:sz w:val="18"/>
                <w:szCs w:val="18"/>
                <w:color w:val="auto"/>
              </w:rPr>
              <w:t>Tax at effective tax rate</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center"/>
              <w:ind w:left="10"/>
              <w:spacing w:after="0"/>
              <w:rPr>
                <w:sz w:val="20"/>
                <w:szCs w:val="20"/>
                <w:color w:val="auto"/>
              </w:rPr>
            </w:pPr>
            <w:r>
              <w:rPr>
                <w:rFonts w:ascii="Arial" w:cs="Arial" w:eastAsia="Arial" w:hAnsi="Arial"/>
                <w:sz w:val="18"/>
                <w:szCs w:val="18"/>
                <w:color w:val="auto"/>
                <w:w w:val="97"/>
              </w:rPr>
              <w:t>(4.4)</w:t>
            </w:r>
          </w:p>
        </w:tc>
      </w:tr>
      <w:tr>
        <w:trPr>
          <w:trHeight w:val="21"/>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Company’s deferred tax assets and liabilities as of December 31, 2019 and 2020, are as follows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5"/>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and state tax credits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6"/>
        </w:trPr>
        <w:tc>
          <w:tcPr>
            <w:tcW w:w="8020" w:type="dxa"/>
            <w:vAlign w:val="bottom"/>
          </w:tcPr>
          <w:p>
            <w:pPr>
              <w:ind w:left="20"/>
              <w:spacing w:after="0"/>
              <w:rPr>
                <w:sz w:val="20"/>
                <w:szCs w:val="20"/>
                <w:color w:val="auto"/>
              </w:rPr>
            </w:pPr>
            <w:r>
              <w:rPr>
                <w:rFonts w:ascii="Arial" w:cs="Arial" w:eastAsia="Arial" w:hAnsi="Arial"/>
                <w:sz w:val="18"/>
                <w:szCs w:val="18"/>
                <w:color w:val="auto"/>
              </w:rPr>
              <w:t>Total gross deferred tax assets</w:t>
            </w:r>
          </w:p>
        </w:tc>
        <w:tc>
          <w:tcPr>
            <w:tcW w:w="10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Prepaid expense and other</w:t>
            </w:r>
          </w:p>
        </w:tc>
        <w:tc>
          <w:tcPr>
            <w:tcW w:w="10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Basis difference for fixed assets and intangibles</w:t>
            </w:r>
          </w:p>
        </w:tc>
        <w:tc>
          <w:tcPr>
            <w:tcW w:w="104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w w:val="97"/>
              </w:rPr>
              <w:t>(4.6)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deferred tax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104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w w:val="97"/>
              </w:rPr>
              <w:t>(6.2)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the Company has federal net operating loss carryforwards of approximately $31.6 million, of which $13.1 million, if not utilized, will begin to expire in 2033, and the remaining $18.5 million can be carried forward indefinitely. As of December 31, 2020, the Company has state net operating loss carryforwards of approximately $17.4 million. The majority of state net operating loss carryforwards, if not utilized, will begin to expire on various dates beginning in 2032.</w:t>
      </w:r>
    </w:p>
    <w:p>
      <w:pPr>
        <w:spacing w:after="0" w:line="13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addition, as of December 31, 2020, the Company has approximately $8.8 million and $10.6 million of federal and California research and development credit carryforwards, respectively. The federal credits will start to expire in 2037. The California credits can be carried forward indefinitely.</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F-35</w:t>
      </w:r>
    </w:p>
    <w:p>
      <w:pPr>
        <w:sectPr>
          <w:pgSz w:w="11900" w:h="16838" w:orient="portrait"/>
          <w:cols w:equalWidth="0" w:num="1">
            <w:col w:w="11240"/>
          </w:cols>
          <w:pgMar w:left="320" w:top="175" w:right="339" w:bottom="1440" w:gutter="0" w:footer="0" w:header="0"/>
          <w:type w:val="continuous"/>
        </w:sectPr>
      </w:pPr>
    </w:p>
    <w:bookmarkStart w:id="195" w:name="page196"/>
    <w:bookmarkEnd w:id="195"/>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California Competes Tax Credit (“CCTC”) is an income tax credit available to businesses that invest and expand its operations within the state. As of December 31, 2020, the Company has approximately $1.3 million of CCTC carryforwards. The CCTC can be carried forward for 6 years, and will start to expire in 2021.</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projected future taxable income and tax-planning strategies in making this assessment. Based on all available evidence, both positive and negative, the Company concluded that on a more-likely-than-not basis, it would be able to realize its federal and state deferred tax assets, except for California. As of December 31, 2020, the Company had a full valuation allowance on its California deferred tax assets, and the change in current year valuation allowance was approximately $1.0 million, which is primarily related to R&amp;D credits generated in the current year.</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During the quarter ended September 30, 2021, based on the Company’s ongoing assessment of all available evidence, both positive and negative, including consideration of the Company’s historical profitability and the estimated impact of its operating model on future profitability, the Company concluded that it was more likely than not that its U.S. deferred tax assets in excess of deferred tax liabilities would not be realized. Accordingly, the Company recorded a full valuation allowance against these deferred tax assets of $13.2 million (unaudited) as of September 30, 2021.</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reconciliation of the unrecognized tax benefits, excluding accrued interest and penalties, as of December 31, 2019 and 2020,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2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4.8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Increases related to prior year tax positions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30"/>
              <w:spacing w:after="0"/>
              <w:rPr>
                <w:sz w:val="20"/>
                <w:szCs w:val="20"/>
                <w:color w:val="auto"/>
              </w:rPr>
            </w:pPr>
            <w:r>
              <w:rPr>
                <w:rFonts w:ascii="Arial" w:cs="Arial" w:eastAsia="Arial" w:hAnsi="Arial"/>
                <w:sz w:val="18"/>
                <w:szCs w:val="18"/>
                <w:color w:val="auto"/>
                <w:w w:val="87"/>
              </w:rPr>
              <w:t>0.3</w:t>
            </w:r>
          </w:p>
        </w:tc>
      </w:tr>
      <w:tr>
        <w:trPr>
          <w:trHeight w:val="27"/>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Decreases related to prior year tax positions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(0.1)</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Expiration of statute of limitations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center"/>
              <w:ind w:left="10"/>
              <w:spacing w:after="0"/>
              <w:rPr>
                <w:sz w:val="20"/>
                <w:szCs w:val="20"/>
                <w:color w:val="auto"/>
              </w:rPr>
            </w:pPr>
            <w:r>
              <w:rPr>
                <w:rFonts w:ascii="Arial" w:cs="Arial" w:eastAsia="Arial" w:hAnsi="Arial"/>
                <w:sz w:val="18"/>
                <w:szCs w:val="18"/>
                <w:color w:val="auto"/>
                <w:w w:val="97"/>
              </w:rPr>
              <w:t>(0.1)</w:t>
            </w:r>
          </w:p>
        </w:tc>
      </w:tr>
      <w:tr>
        <w:trPr>
          <w:trHeight w:val="27"/>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year increases</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1.4</w:t>
            </w:r>
          </w:p>
        </w:tc>
      </w:tr>
      <w:tr>
        <w:trPr>
          <w:trHeight w:val="263"/>
        </w:trPr>
        <w:tc>
          <w:tcPr>
            <w:tcW w:w="802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6.3</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the year ended December 31, 2019, interest and penalties were not material. For the year ended December 31, 2020, the Company accrued $0.1 million for interest and penalties on its uncertain tax positions. The Company does not anticipate that its total unrecognized tax benefits will significantly change due to settlement of examination or the expiration of statute of limitations during the next 12 months.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files income tax returns in the U.S. federal and various state jurisdictions. The Company’s tax years for 2013 and forward are subject to examination by the U.S. tax authorities due to certain acquired attribute carryforwards. The Company’s tax years for 2013 and forward are subject to examination by various state tax authorities due to certain acquired attribute carryforwards.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recorded an income tax (benefit) provision of $(2.2) million and $5.0 million, representing effective tax rates of (33.6%) and (17.0%), for the nine months ended September 30, 2020 and 2021 (unaudited), respectively. The change from an income tax benefit to a provision was primarily driven by the valuation allowance recorded against the Company’s U.S. deferred tax assets during the quarter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F-36</w:t>
      </w:r>
    </w:p>
    <w:p>
      <w:pPr>
        <w:sectPr>
          <w:pgSz w:w="11900" w:h="16838" w:orient="portrait"/>
          <w:cols w:equalWidth="0" w:num="1">
            <w:col w:w="11240"/>
          </w:cols>
          <w:pgMar w:left="320" w:top="175" w:right="339" w:bottom="1440" w:gutter="0" w:footer="0" w:header="0"/>
        </w:sectPr>
      </w:pPr>
    </w:p>
    <w:bookmarkStart w:id="196" w:name="page197"/>
    <w:bookmarkEnd w:id="196"/>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BASIC AND DILUTED SHARE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computes earnings per share (“EPS”) in conformity with the two-class method required for participating securities. The two-class method is an earnings allocation method that determines net income (loss) per share for each class of common stock and participating securities according to dividends declared (or accumulated) and participation rights in undistributed earnings or losses. We consider early exercised share options to be participating securities. The early exercised share options were immaterial for the years ended December 31, 2019 and 2020 and the nine months ended September 30, 2021 (unaudited).</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EPS is computed by dividing net income (loss) available to common stockholders by the weighted average number of common stock outstanding during the period. Diluted EPS is computed by dividing income (loss) attributable to common stockholders by the number of diluted shares outstanding. Diluted shares equal the total of the basic shares outstanding and all potentially issuable shares, other than antidilutive shares, if any, weighted for the average days outstanding for the period. The dilutive effect of outstanding awards and convertible securities is reflected in diluted earnings per share by application of the treasury stock method.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the numerators and denominators of the basic and diluted per share computations for net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common stockholders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Class A</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Class F</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A</w:t>
            </w:r>
          </w:p>
        </w:tc>
        <w:tc>
          <w:tcPr>
            <w:tcW w:w="320" w:type="dxa"/>
            <w:vAlign w:val="bottom"/>
          </w:tcPr>
          <w:p>
            <w:pPr>
              <w:spacing w:after="0"/>
              <w:rPr>
                <w:sz w:val="16"/>
                <w:szCs w:val="16"/>
                <w:color w:val="auto"/>
              </w:rPr>
            </w:pPr>
          </w:p>
        </w:tc>
        <w:tc>
          <w:tcPr>
            <w:tcW w:w="1240" w:type="dxa"/>
            <w:vAlign w:val="bottom"/>
          </w:tcPr>
          <w:p>
            <w:pPr>
              <w:jc w:val="right"/>
              <w:ind w:right="472"/>
              <w:spacing w:after="0"/>
              <w:rPr>
                <w:sz w:val="20"/>
                <w:szCs w:val="20"/>
                <w:color w:val="auto"/>
              </w:rPr>
            </w:pPr>
            <w:r>
              <w:rPr>
                <w:rFonts w:ascii="Arial" w:cs="Arial" w:eastAsia="Arial" w:hAnsi="Arial"/>
                <w:sz w:val="14"/>
                <w:szCs w:val="14"/>
                <w:b w:val="1"/>
                <w:bCs w:val="1"/>
                <w:color w:val="auto"/>
              </w:rPr>
              <w:t>Class F</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Reallocation of net income to Class A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 – diluted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Weighted-average shares of common stock – basic</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stock options and restricted stock units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w w:val="97"/>
              </w:rPr>
              <w:t>Effect of potentially dilutive Series A redeemable convertible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of common stock – diluted</w:t>
            </w:r>
          </w:p>
        </w:tc>
        <w:tc>
          <w:tcPr>
            <w:tcW w:w="3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 attributable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F-37</w:t>
      </w:r>
    </w:p>
    <w:p>
      <w:pPr>
        <w:sectPr>
          <w:pgSz w:w="11900" w:h="16838" w:orient="portrait"/>
          <w:cols w:equalWidth="0" w:num="1">
            <w:col w:w="11240"/>
          </w:cols>
          <w:pgMar w:left="320" w:top="175" w:right="339" w:bottom="1440" w:gutter="0" w:footer="0" w:header="0"/>
        </w:sectPr>
      </w:pPr>
    </w:p>
    <w:bookmarkStart w:id="197" w:name="page198"/>
    <w:bookmarkEnd w:id="197"/>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w w:val="89"/>
              </w:rPr>
              <w:t>2020</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2"/>
              <w:spacing w:after="0"/>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F</w:t>
            </w:r>
          </w:p>
        </w:tc>
        <w:tc>
          <w:tcPr>
            <w:tcW w:w="380" w:type="dxa"/>
            <w:vAlign w:val="bottom"/>
          </w:tcPr>
          <w:p>
            <w:pPr>
              <w:spacing w:after="0"/>
              <w:rPr>
                <w:sz w:val="16"/>
                <w:szCs w:val="16"/>
                <w:color w:val="auto"/>
              </w:rPr>
            </w:pPr>
          </w:p>
        </w:tc>
        <w:tc>
          <w:tcPr>
            <w:tcW w:w="1400" w:type="dxa"/>
            <w:vAlign w:val="bottom"/>
            <w:gridSpan w:val="3"/>
          </w:tcPr>
          <w:p>
            <w:pPr>
              <w:ind w:left="140"/>
              <w:spacing w:after="0"/>
              <w:rPr>
                <w:sz w:val="20"/>
                <w:szCs w:val="20"/>
                <w:color w:val="auto"/>
              </w:rPr>
            </w:pPr>
            <w:r>
              <w:rPr>
                <w:rFonts w:ascii="Arial" w:cs="Arial" w:eastAsia="Arial" w:hAnsi="Arial"/>
                <w:sz w:val="14"/>
                <w:szCs w:val="14"/>
                <w:b w:val="1"/>
                <w:bCs w:val="1"/>
                <w:color w:val="auto"/>
              </w:rPr>
              <w:t>Class A</w:t>
            </w:r>
          </w:p>
        </w:tc>
        <w:tc>
          <w:tcPr>
            <w:tcW w:w="300" w:type="dxa"/>
            <w:vAlign w:val="bottom"/>
          </w:tcPr>
          <w:p>
            <w:pPr>
              <w:spacing w:after="0"/>
              <w:rPr>
                <w:sz w:val="16"/>
                <w:szCs w:val="16"/>
                <w:color w:val="auto"/>
              </w:rPr>
            </w:pP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Class F</w:t>
            </w: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ind w:left="960"/>
              <w:spacing w:after="0"/>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6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Reallocation of net income (loss) to Class A common stock</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8"/>
                <w:szCs w:val="18"/>
                <w:color w:val="auto"/>
                <w:w w:val="98"/>
              </w:rPr>
              <w:t>Net income (loss) attributable to common stockholders –</w:t>
            </w: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top w:val="single" w:sz="8" w:color="auto"/>
            </w:tcBorders>
            <w:vMerge w:val="restart"/>
          </w:tcPr>
          <w:p>
            <w:pPr>
              <w:spacing w:after="0"/>
              <w:rPr>
                <w:sz w:val="18"/>
                <w:szCs w:val="18"/>
                <w:color w:val="auto"/>
              </w:rPr>
            </w:pPr>
          </w:p>
        </w:tc>
        <w:tc>
          <w:tcPr>
            <w:tcW w:w="260" w:type="dxa"/>
            <w:vAlign w:val="bottom"/>
            <w:vMerge w:val="restart"/>
          </w:tcPr>
          <w:p>
            <w:pPr>
              <w:spacing w:after="0"/>
              <w:rPr>
                <w:sz w:val="18"/>
                <w:szCs w:val="18"/>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vMerge w:val="restart"/>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Weighted-average shares of common stock – basic</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stock options and restricted stock units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w w:val="92"/>
              </w:rPr>
              <w:t>Effect of potentially dilutive Series A redeemable convertible</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20"/>
                <w:szCs w:val="20"/>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20"/>
                <w:szCs w:val="20"/>
                <w:color w:val="auto"/>
              </w:rPr>
            </w:pPr>
          </w:p>
        </w:tc>
        <w:tc>
          <w:tcPr>
            <w:tcW w:w="140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of common stock – diluted</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share attributable to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0.16</w:t>
            </w:r>
          </w:p>
        </w:tc>
        <w:tc>
          <w:tcPr>
            <w:tcW w:w="6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0.16</w:t>
            </w:r>
          </w:p>
        </w:tc>
        <w:tc>
          <w:tcPr>
            <w:tcW w:w="26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earnings (loss) per share for the periods presented because including them would have been antidilutive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20" w:type="dxa"/>
            <w:vAlign w:val="bottom"/>
            <w:gridSpan w:val="6"/>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Pr>
          <w:p>
            <w:pPr>
              <w:spacing w:after="0"/>
              <w:rPr>
                <w:sz w:val="16"/>
                <w:szCs w:val="16"/>
                <w:color w:val="auto"/>
              </w:rPr>
            </w:pPr>
          </w:p>
        </w:tc>
      </w:tr>
      <w:tr>
        <w:trPr>
          <w:trHeight w:val="25"/>
        </w:trPr>
        <w:tc>
          <w:tcPr>
            <w:tcW w:w="47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1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40" w:type="dxa"/>
            <w:vAlign w:val="bottom"/>
          </w:tcPr>
          <w:p>
            <w:pPr>
              <w:spacing w:after="0"/>
              <w:rPr>
                <w:sz w:val="16"/>
                <w:szCs w:val="16"/>
                <w:color w:val="auto"/>
              </w:rPr>
            </w:pPr>
          </w:p>
        </w:tc>
      </w:tr>
      <w:tr>
        <w:trPr>
          <w:trHeight w:val="25"/>
        </w:trPr>
        <w:tc>
          <w:tcPr>
            <w:tcW w:w="47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19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Class A</w:t>
            </w:r>
          </w:p>
        </w:tc>
        <w:tc>
          <w:tcPr>
            <w:tcW w:w="1760" w:type="dxa"/>
            <w:vAlign w:val="bottom"/>
            <w:gridSpan w:val="3"/>
          </w:tcPr>
          <w:p>
            <w:pPr>
              <w:ind w:left="240"/>
              <w:spacing w:after="0"/>
              <w:rPr>
                <w:sz w:val="20"/>
                <w:szCs w:val="20"/>
                <w:color w:val="auto"/>
              </w:rPr>
            </w:pPr>
            <w:r>
              <w:rPr>
                <w:rFonts w:ascii="Arial" w:cs="Arial" w:eastAsia="Arial" w:hAnsi="Arial"/>
                <w:sz w:val="14"/>
                <w:szCs w:val="14"/>
                <w:b w:val="1"/>
                <w:bCs w:val="1"/>
                <w:color w:val="auto"/>
              </w:rPr>
              <w:t>Class F</w:t>
            </w:r>
          </w:p>
        </w:tc>
        <w:tc>
          <w:tcPr>
            <w:tcW w:w="156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Class A</w:t>
            </w: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Class F</w:t>
            </w:r>
          </w:p>
        </w:tc>
      </w:tr>
      <w:tr>
        <w:trPr>
          <w:trHeight w:val="25"/>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Shares subject to outstanding stock options and restricted stock</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380"/>
        </w:trPr>
        <w:tc>
          <w:tcPr>
            <w:tcW w:w="4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1240" w:type="dxa"/>
            <w:vAlign w:val="bottom"/>
          </w:tcPr>
          <w:p>
            <w:pPr>
              <w:spacing w:after="0"/>
              <w:rPr>
                <w:sz w:val="24"/>
                <w:szCs w:val="24"/>
                <w:color w:val="auto"/>
              </w:rPr>
            </w:pPr>
          </w:p>
        </w:tc>
      </w:tr>
      <w:tr>
        <w:trPr>
          <w:trHeight w:val="25"/>
        </w:trPr>
        <w:tc>
          <w:tcPr>
            <w:tcW w:w="47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1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240" w:type="dxa"/>
            <w:vAlign w:val="bottom"/>
          </w:tcPr>
          <w:p>
            <w:pPr>
              <w:spacing w:after="0"/>
              <w:rPr>
                <w:sz w:val="16"/>
                <w:szCs w:val="16"/>
                <w:color w:val="auto"/>
              </w:rPr>
            </w:pPr>
          </w:p>
        </w:tc>
      </w:tr>
      <w:tr>
        <w:trPr>
          <w:trHeight w:val="25"/>
        </w:trPr>
        <w:tc>
          <w:tcPr>
            <w:tcW w:w="47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19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Class A</w:t>
            </w:r>
          </w:p>
        </w:tc>
        <w:tc>
          <w:tcPr>
            <w:tcW w:w="1760" w:type="dxa"/>
            <w:vAlign w:val="bottom"/>
            <w:gridSpan w:val="3"/>
          </w:tcPr>
          <w:p>
            <w:pPr>
              <w:ind w:left="240"/>
              <w:spacing w:after="0"/>
              <w:rPr>
                <w:sz w:val="20"/>
                <w:szCs w:val="20"/>
                <w:color w:val="auto"/>
              </w:rPr>
            </w:pPr>
            <w:r>
              <w:rPr>
                <w:rFonts w:ascii="Arial" w:cs="Arial" w:eastAsia="Arial" w:hAnsi="Arial"/>
                <w:sz w:val="14"/>
                <w:szCs w:val="14"/>
                <w:b w:val="1"/>
                <w:bCs w:val="1"/>
                <w:color w:val="auto"/>
              </w:rPr>
              <w:t>Class F</w:t>
            </w:r>
          </w:p>
        </w:tc>
        <w:tc>
          <w:tcPr>
            <w:tcW w:w="156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Class A</w:t>
            </w: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Class F</w:t>
            </w:r>
          </w:p>
        </w:tc>
      </w:tr>
      <w:tr>
        <w:trPr>
          <w:trHeight w:val="25"/>
        </w:trPr>
        <w:tc>
          <w:tcPr>
            <w:tcW w:w="47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ind w:left="940"/>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Shares subject to outstanding stock options and restricted stock</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Series A redeemable convertible preferred stock</w:t>
            </w:r>
          </w:p>
        </w:tc>
        <w:tc>
          <w:tcPr>
            <w:tcW w:w="19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bl>
    <w:p>
      <w:pPr>
        <w:spacing w:after="0" w:line="265"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 401(k) savings plan (the Savings Plan). All employees are eligible to participate in the Savings Plan after meeting certain eligibility requirements. Participants may elect to have a portion of their salary deferred and contributed to the Savings Plan up to the limit allowed by the applicable income tax regulations. The Company’s current policy is to match employee contributions up to certain overall limits. The Company made matching contributions of $2.3 million and $2.7 million during the years ended December 31, 2019 and 2020, respectively, and $2.0 million and $2.6 million for the nine months ended September 30, 2020 and 2021 (unaudited),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F-38</w:t>
      </w:r>
    </w:p>
    <w:p>
      <w:pPr>
        <w:sectPr>
          <w:pgSz w:w="11900" w:h="16838" w:orient="portrait"/>
          <w:cols w:equalWidth="0" w:num="1">
            <w:col w:w="11240"/>
          </w:cols>
          <w:pgMar w:left="320" w:top="175" w:right="339" w:bottom="1440" w:gutter="0" w:footer="0" w:header="0"/>
        </w:sectPr>
      </w:pPr>
    </w:p>
    <w:bookmarkStart w:id="198" w:name="page199"/>
    <w:bookmarkEnd w:id="198"/>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2017, the Company entered into a stock repurchase agreement to repurchase a specific number of shares of Class G common stock from one of the Company’s co-founders. In connection with the stock repurchase agreement, the Company issued subordinated promissory notes (the “Notes”) with a principal amount totaling $28.5 million to the co-founder. The Notes bear interest on the outstanding principal amount at the rate of 4.2922% per year and mature in 2026. In the event of a deemed liquidation event or initial public offering while the Notes remain outstanding, the Company must repay the Notes in an amount equal to the outstanding principal plus an unpaid accrued interest, to the extent there are proceeds available after payment of senior obligations. The Company continues to make annual interest payments in relation to this agreement. Refer to Note 7 – Debt for further discussion. There were no other material related party transactions during the years ended December 31, 2019 and 2020, or the nine months ended September 30, 2021 (unaudited).</w:t>
      </w:r>
    </w:p>
    <w:p>
      <w:pPr>
        <w:spacing w:after="0" w:line="134"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evaluated subsequent events pertaining to the annual consolidated financial statements through May 3, 2021 (except October 20, 2021 as it relates to the reverse stock split described in Note 1), the date the financial statements were issued.</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January 2021, the Company waived its right of first refusal and the CEO entered into a stock transfer agreement to sell approximately 1.1 million shares of Class F common stock to an existing investor at $14.00 per share for an aggregate purchase price of $15.0 million. Upon consummation of the sale to the third party, the shares of Class F common stock were automatically converted into shares of Class A common stock on a 1:1 basis in accordance with the rights and preferences of the Class F common stock. The price per share was equivalent to the estimated fair value of the Company’s common stock on December 31, 2020 as determined by its Board of Directors with the assistance of a third-party valuation specialist.</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Also in January 2021, the Company entered into a repurchase agreement with the CEO to repurchase approximately 0.9 million shares of Class F common stock at $14.00 per share for an aggregate purchase price of approximately $12.6 million.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2021, the Company waived its right of first refusal and the CEO entered into a stock transfer agreement to sell approximately 0.1 million shares of Class A common stock to an existing investor at $14.00 per share for an aggregate purchase price of $2.1 million. The price per share was equivalent to the estimated fair value of the Company’s common stock on December 31, 2020 as determined by its Board of Directors with the assistance of a third-party valuation specialist.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Also in February 2021, the Company amended and restated the Credit Agreement to increase the revolving line of credit from up to $50.0 million to up to $100.0 million with the option to increase up to an additional $25.0 million. The Credit Agreement financial covenants requiring the Company to maintain minimum EBITDA and an adjusted quick ratio above specified levels, measured in each case at the end of each fiscal quarter, were updated accordingly. In addition, the margin for outstanding ABR loans was increased from 0.75% or 0.50% to 1.75% or 2.00%. The termination date of the Credit Agreement has been extended to September 2, 2023.</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March 2021, the Company entered into an Option Cancellation Agreement with a former member of its board of directors and an affiliated entity, pursuant to which the Company cancelled options to purchase an aggregate of 0.2 million shares of Class A common stock. The total consideration paid for the option cancellation was $2.4 million, of which $1.0 million was recognized as compensation expense for the excess amount paid over the purchase-date fair market value of the options. In addition, in March 2021, the Company repurchased 0.1 million shares of Series A redeemable convertible preferred stock from an affiliated entity of a former member of its Board of Directors for approximately $2.0 million.</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2021, the Company signed an agreement to sublease office space in San Francisco, California, commencing November 2021. The sublease has a term of three years and nine months, and rental costs of approximately $0.2 million per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F-39</w:t>
      </w:r>
    </w:p>
    <w:p>
      <w:pPr>
        <w:sectPr>
          <w:pgSz w:w="11900" w:h="16838" w:orient="portrait"/>
          <w:cols w:equalWidth="0" w:num="1">
            <w:col w:w="11240"/>
          </w:cols>
          <w:pgMar w:left="320" w:top="175" w:right="339" w:bottom="1440" w:gutter="0" w:footer="0" w:header="0"/>
        </w:sectPr>
      </w:pPr>
    </w:p>
    <w:bookmarkStart w:id="199" w:name="page200"/>
    <w:bookmarkEnd w:id="199"/>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preparing the unaudited interim consolidated financial statements for the nine months ended September 30, 2020 and 2021, the Company evaluated subsequent events through October 20, 2021.</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May 2021, the Company amended and restated the Credit Agreement to update the financial covenants requiring the Company to maintain minimum EBITDA and an adjusted quick ratio above specified levels, measured in each case at the end of each fiscal quarter. There were no changes to the line of credit amount, interest rate margins or termination date for the Credit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F-40</w:t>
      </w:r>
    </w:p>
    <w:p>
      <w:pPr>
        <w:sectPr>
          <w:pgSz w:w="11900" w:h="16838" w:orient="portrait"/>
          <w:cols w:equalWidth="0" w:num="1">
            <w:col w:w="11240"/>
          </w:cols>
          <w:pgMar w:left="320" w:top="175" w:right="339" w:bottom="1440" w:gutter="0" w:footer="0" w:header="0"/>
        </w:sectPr>
      </w:pPr>
    </w:p>
    <w:bookmarkStart w:id="200" w:name="page201"/>
    <w:bookmarkEnd w:id="200"/>
    <w:p>
      <w:pPr>
        <w:spacing w:after="0" w:line="14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or FINRA, filing fee and the exchange listing fee.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552"/>
              <w:spacing w:after="0"/>
              <w:rPr>
                <w:sz w:val="20"/>
                <w:szCs w:val="20"/>
                <w:color w:val="auto"/>
              </w:rPr>
            </w:pPr>
            <w:r>
              <w:rPr>
                <w:rFonts w:ascii="Arial" w:cs="Arial" w:eastAsia="Arial" w:hAnsi="Arial"/>
                <w:sz w:val="14"/>
                <w:szCs w:val="14"/>
                <w:b w:val="1"/>
                <w:bCs w:val="1"/>
                <w:color w:val="auto"/>
              </w:rPr>
              <w:t>Amount</w:t>
            </w:r>
          </w:p>
        </w:tc>
      </w:tr>
      <w:tr>
        <w:trPr>
          <w:trHeight w:val="26"/>
        </w:trPr>
        <w:tc>
          <w:tcPr>
            <w:tcW w:w="9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14,685</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24,262</w:t>
            </w:r>
          </w:p>
        </w:tc>
      </w:tr>
      <w:tr>
        <w:trPr>
          <w:trHeight w:val="27"/>
        </w:trPr>
        <w:tc>
          <w:tcPr>
            <w:tcW w:w="9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listing fee</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Accountants’ fees and expenses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2,078,851</w:t>
            </w:r>
          </w:p>
        </w:tc>
      </w:tr>
      <w:tr>
        <w:trPr>
          <w:trHeight w:val="27"/>
        </w:trPr>
        <w:tc>
          <w:tcPr>
            <w:tcW w:w="9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1,912,479</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Transfer Agent’s fees and expenses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22,000</w:t>
            </w:r>
          </w:p>
        </w:tc>
      </w:tr>
      <w:tr>
        <w:trPr>
          <w:trHeight w:val="27"/>
        </w:trPr>
        <w:tc>
          <w:tcPr>
            <w:tcW w:w="9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Printing and engraving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218,750</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Miscellaneous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518,973</w:t>
            </w:r>
          </w:p>
        </w:tc>
      </w:tr>
      <w:tr>
        <w:trPr>
          <w:trHeight w:val="27"/>
        </w:trPr>
        <w:tc>
          <w:tcPr>
            <w:tcW w:w="9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completion of this offering permits indemnification of our directors, officers, employees and other agents to the maximum extent permitted by the Delaware General Corporation Law, and our amended and restated bylaws that will be in effect on the completion of this offering provide that we will indemnify our directors and officers and permit us to indemnify our employees and other agents, in each case to the maximum extent permitted by the Delaware General Corporation Law.</w:t>
      </w:r>
    </w:p>
    <w:p>
      <w:pPr>
        <w:spacing w:after="0" w:line="11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NerdWallet, Inc., provided that such director or officer acted in good faith and in a manner that the director or officer reasonably believed to be in, or not opposed to, the best interest of NerdWallet, Inc. At present, there is no pending litigation or proceeding involving a director or officer of NerdWallet, Inc. regarding which indemnification is sought, nor is the registrant aware of any threatened litigation that may result in claims for indemnification.</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indemnification provisions in our second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II-1</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of 1934, as amended, that might be incurred by any director or officer in his or her capacity as such.</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underwriting agreement to be filed as Exhibit 1.1 to this registration statement will provide for indemnification by the underwriters of us and our officers and directors for certain liabilities arising under the Securities Act or otherwise.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January 1, 2018 we have issued the following unregistered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of Class A common stock</w:t>
      </w:r>
    </w:p>
    <w:p>
      <w:pPr>
        <w:spacing w:after="0" w:line="171" w:lineRule="exact"/>
        <w:rPr>
          <w:sz w:val="20"/>
          <w:szCs w:val="20"/>
          <w:color w:val="auto"/>
        </w:rPr>
      </w:pPr>
    </w:p>
    <w:p>
      <w:pPr>
        <w:ind w:left="660" w:right="20" w:hanging="328"/>
        <w:spacing w:after="0" w:line="277" w:lineRule="auto"/>
        <w:tabs>
          <w:tab w:leader="none" w:pos="65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November 2020, we issued and sold 3,878,570 shares of our Class A common stock to accredited investors for an aggregate purchase price of approximately $54.3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Plan-Related Issuances</w:t>
      </w:r>
    </w:p>
    <w:p>
      <w:pPr>
        <w:spacing w:after="0" w:line="171" w:lineRule="exact"/>
        <w:rPr>
          <w:sz w:val="20"/>
          <w:szCs w:val="20"/>
          <w:color w:val="auto"/>
        </w:rPr>
      </w:pPr>
    </w:p>
    <w:p>
      <w:pPr>
        <w:jc w:val="both"/>
        <w:ind w:left="660" w:hanging="328"/>
        <w:spacing w:after="0" w:line="263" w:lineRule="auto"/>
        <w:tabs>
          <w:tab w:leader="none" w:pos="65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From January 1, 2018 through the date of this registration statement, we granted to certain directors, officers, employees, consultants and other service providers options to purchase an aggregate of 9,793,488 shares of our Class A common stock under our 2012 Plan at exercise prices ranging from $5.90 to $21.44 per share.</w:t>
      </w:r>
    </w:p>
    <w:p>
      <w:pPr>
        <w:spacing w:after="0" w:line="129" w:lineRule="exact"/>
        <w:rPr>
          <w:rFonts w:ascii="Arial" w:cs="Arial" w:eastAsia="Arial" w:hAnsi="Arial"/>
          <w:sz w:val="18"/>
          <w:szCs w:val="18"/>
          <w:color w:val="auto"/>
        </w:rPr>
      </w:pPr>
    </w:p>
    <w:p>
      <w:pPr>
        <w:ind w:left="660" w:hanging="328"/>
        <w:spacing w:after="0" w:line="308" w:lineRule="auto"/>
        <w:tabs>
          <w:tab w:leader="none" w:pos="65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From January 1, 2018 through the date of this registration statement, we granted to certain directors, officers, employees, consultants and other service providers an aggregate of 4,682,788 RSUs to be settled in shares of our Class A common stock under our 2012 Plan.</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From January 1, 2018 through the date of this registration statement, we issued and sold an aggregate of 6,162,009 shares of our Class A common stock upon the exercise of options under our 2012 Plan, at exercise prices ranging from $0.30 to $14.00 per share, for a weighted average exercise price of approximately $3.45 per share.</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II-2</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0" w:type="dxa"/>
            <w:vAlign w:val="bottom"/>
            <w:gridSpan w:val="18"/>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26"/>
        </w:trPr>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6"/>
        </w:trPr>
        <w:tc>
          <w:tcPr>
            <w:tcW w:w="960" w:type="dxa"/>
            <w:vAlign w:val="bottom"/>
          </w:tcPr>
          <w:p>
            <w:pPr>
              <w:ind w:lef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Borders>
              <w:bottom w:val="single" w:sz="8" w:color="0000FF"/>
            </w:tcBorders>
            <w:gridSpan w:val="5"/>
          </w:tcPr>
          <w:p>
            <w:pPr>
              <w:spacing w:after="0"/>
              <w:rPr>
                <w:rFonts w:ascii="Arial" w:cs="Arial" w:eastAsia="Arial" w:hAnsi="Arial"/>
                <w:sz w:val="18"/>
                <w:szCs w:val="18"/>
                <w:color w:val="0000FF"/>
                <w:w w:val="93"/>
              </w:rPr>
            </w:pPr>
            <w:hyperlink w:anchor="page206">
              <w:r>
                <w:rPr>
                  <w:rFonts w:ascii="Arial" w:cs="Arial" w:eastAsia="Arial" w:hAnsi="Arial"/>
                  <w:sz w:val="18"/>
                  <w:szCs w:val="18"/>
                  <w:color w:val="0000FF"/>
                  <w:w w:val="93"/>
                </w:rPr>
                <w:t>Form of Underwriting Agreement.</w:t>
              </w:r>
            </w:hyperlink>
          </w:p>
        </w:tc>
        <w:tc>
          <w:tcPr>
            <w:tcW w:w="7680" w:type="dxa"/>
            <w:vAlign w:val="bottom"/>
            <w:gridSpan w:val="21"/>
          </w:tcPr>
          <w:p>
            <w:pPr>
              <w:spacing w:after="0"/>
              <w:rPr>
                <w:sz w:val="20"/>
                <w:szCs w:val="20"/>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60" w:type="dxa"/>
            <w:vAlign w:val="bottom"/>
            <w:tcBorders>
              <w:bottom w:val="single" w:sz="8" w:color="0000FF"/>
            </w:tcBorders>
            <w:gridSpan w:val="12"/>
          </w:tcPr>
          <w:p>
            <w:pPr>
              <w:spacing w:after="0"/>
              <w:rPr>
                <w:rFonts w:ascii="Arial" w:cs="Arial" w:eastAsia="Arial" w:hAnsi="Arial"/>
                <w:sz w:val="18"/>
                <w:szCs w:val="18"/>
                <w:color w:val="0000FF"/>
                <w:w w:val="91"/>
              </w:rPr>
            </w:pPr>
            <w:hyperlink r:id="rId135">
              <w:r>
                <w:rPr>
                  <w:rFonts w:ascii="Arial" w:cs="Arial" w:eastAsia="Arial" w:hAnsi="Arial"/>
                  <w:sz w:val="18"/>
                  <w:szCs w:val="18"/>
                  <w:color w:val="0000FF"/>
                  <w:w w:val="91"/>
                </w:rPr>
                <w:t xml:space="preserve">Amended and Restated Certificate of Incorporation of the </w:t>
              </w:r>
            </w:hyperlink>
            <w:hyperlink r:id="rId136">
              <w:r>
                <w:rPr>
                  <w:rFonts w:ascii="Arial" w:cs="Arial" w:eastAsia="Arial" w:hAnsi="Arial"/>
                  <w:sz w:val="18"/>
                  <w:szCs w:val="18"/>
                  <w:color w:val="0000FF"/>
                  <w:w w:val="91"/>
                </w:rPr>
                <w:t xml:space="preserve">Registrant, </w:t>
              </w:r>
            </w:hyperlink>
            <w:r>
              <w:rPr>
                <w:rFonts w:ascii="Arial" w:cs="Arial" w:eastAsia="Arial" w:hAnsi="Arial"/>
                <w:sz w:val="18"/>
                <w:szCs w:val="18"/>
                <w:color w:val="0000FF"/>
                <w:w w:val="91"/>
              </w:rPr>
              <w:t xml:space="preserve">as </w:t>
            </w:r>
            <w:hyperlink r:id="rId136">
              <w:r>
                <w:rPr>
                  <w:rFonts w:ascii="Arial" w:cs="Arial" w:eastAsia="Arial" w:hAnsi="Arial"/>
                  <w:sz w:val="18"/>
                  <w:szCs w:val="18"/>
                  <w:color w:val="0000FF"/>
                  <w:w w:val="91"/>
                </w:rPr>
                <w:t>currently in effect.</w:t>
              </w:r>
            </w:hyperlink>
          </w:p>
        </w:tc>
        <w:tc>
          <w:tcPr>
            <w:tcW w:w="3620" w:type="dxa"/>
            <w:vAlign w:val="bottom"/>
            <w:gridSpan w:val="14"/>
          </w:tcPr>
          <w:p>
            <w:pPr>
              <w:spacing w:after="0"/>
              <w:rPr>
                <w:sz w:val="24"/>
                <w:szCs w:val="24"/>
                <w:color w:val="auto"/>
              </w:rPr>
            </w:pPr>
          </w:p>
        </w:tc>
      </w:tr>
      <w:tr>
        <w:trPr>
          <w:trHeight w:val="290"/>
        </w:trPr>
        <w:tc>
          <w:tcPr>
            <w:tcW w:w="96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248">
              <w:r>
                <w:rPr>
                  <w:rFonts w:ascii="Arial" w:cs="Arial" w:eastAsia="Arial" w:hAnsi="Arial"/>
                  <w:sz w:val="18"/>
                  <w:szCs w:val="18"/>
                  <w:color w:val="0000FF"/>
                  <w:w w:val="91"/>
                </w:rPr>
                <w:t>Certificate of Amendment to current Amended and Restated Certificate of Incorporation, dated October 26, 2021.</w:t>
              </w:r>
            </w:hyperlink>
          </w:p>
        </w:tc>
        <w:tc>
          <w:tcPr>
            <w:tcW w:w="1980" w:type="dxa"/>
            <w:vAlign w:val="bottom"/>
            <w:gridSpan w:val="11"/>
          </w:tcPr>
          <w:p>
            <w:pPr>
              <w:spacing w:after="0"/>
              <w:rPr>
                <w:sz w:val="24"/>
                <w:szCs w:val="24"/>
                <w:color w:val="auto"/>
              </w:rPr>
            </w:pPr>
          </w:p>
        </w:tc>
      </w:tr>
      <w:tr>
        <w:trPr>
          <w:trHeight w:val="317"/>
        </w:trPr>
        <w:tc>
          <w:tcPr>
            <w:tcW w:w="960" w:type="dxa"/>
            <w:vAlign w:val="bottom"/>
          </w:tcPr>
          <w:p>
            <w:pPr>
              <w:ind w:lef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tcBorders>
              <w:bottom w:val="single" w:sz="8" w:color="0000FF"/>
            </w:tcBorders>
            <w:gridSpan w:val="20"/>
          </w:tcPr>
          <w:p>
            <w:pPr>
              <w:spacing w:after="0"/>
              <w:rPr>
                <w:rFonts w:ascii="Arial" w:cs="Arial" w:eastAsia="Arial" w:hAnsi="Arial"/>
                <w:sz w:val="18"/>
                <w:szCs w:val="18"/>
                <w:color w:val="0000FF"/>
                <w:w w:val="91"/>
              </w:rPr>
            </w:pPr>
            <w:hyperlink w:anchor="page251">
              <w:r>
                <w:rPr>
                  <w:rFonts w:ascii="Arial" w:cs="Arial" w:eastAsia="Arial" w:hAnsi="Arial"/>
                  <w:sz w:val="18"/>
                  <w:szCs w:val="18"/>
                  <w:color w:val="0000FF"/>
                  <w:w w:val="91"/>
                </w:rPr>
                <w:t>Form of Amended and Restated Certificate of Incorporation of the Registrant, to be effective on the completion of this offering.</w:t>
              </w:r>
            </w:hyperlink>
          </w:p>
        </w:tc>
        <w:tc>
          <w:tcPr>
            <w:tcW w:w="980" w:type="dxa"/>
            <w:vAlign w:val="bottom"/>
            <w:gridSpan w:val="6"/>
          </w:tcPr>
          <w:p>
            <w:pPr>
              <w:spacing w:after="0"/>
              <w:rPr>
                <w:sz w:val="24"/>
                <w:szCs w:val="24"/>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6"/>
          </w:tcPr>
          <w:p>
            <w:pPr>
              <w:spacing w:after="0"/>
              <w:rPr>
                <w:rFonts w:ascii="Arial" w:cs="Arial" w:eastAsia="Arial" w:hAnsi="Arial"/>
                <w:sz w:val="18"/>
                <w:szCs w:val="18"/>
                <w:color w:val="0000FF"/>
              </w:rPr>
            </w:pPr>
            <w:hyperlink r:id="rId137">
              <w:r>
                <w:rPr>
                  <w:rFonts w:ascii="Arial" w:cs="Arial" w:eastAsia="Arial" w:hAnsi="Arial"/>
                  <w:sz w:val="18"/>
                  <w:szCs w:val="18"/>
                  <w:color w:val="0000FF"/>
                </w:rPr>
                <w:t>Bylaws of the Registrant, as currently in effect.</w:t>
              </w:r>
            </w:hyperlink>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60" w:type="dxa"/>
            <w:vAlign w:val="bottom"/>
            <w:tcBorders>
              <w:bottom w:val="single" w:sz="8" w:color="0000FF"/>
            </w:tcBorders>
            <w:gridSpan w:val="14"/>
          </w:tcPr>
          <w:p>
            <w:pPr>
              <w:spacing w:after="0"/>
              <w:rPr>
                <w:rFonts w:ascii="Arial" w:cs="Arial" w:eastAsia="Arial" w:hAnsi="Arial"/>
                <w:sz w:val="18"/>
                <w:szCs w:val="18"/>
                <w:color w:val="0000FF"/>
                <w:w w:val="91"/>
              </w:rPr>
            </w:pPr>
            <w:hyperlink r:id="rId138">
              <w:r>
                <w:rPr>
                  <w:rFonts w:ascii="Arial" w:cs="Arial" w:eastAsia="Arial" w:hAnsi="Arial"/>
                  <w:sz w:val="18"/>
                  <w:szCs w:val="18"/>
                  <w:color w:val="0000FF"/>
                  <w:w w:val="91"/>
                </w:rPr>
                <w:t>Form of Amended and Restated Bylaws of the Registrant, to be effective on the completion of this offering.</w:t>
              </w:r>
            </w:hyperlink>
          </w:p>
        </w:tc>
        <w:tc>
          <w:tcPr>
            <w:tcW w:w="2420" w:type="dxa"/>
            <w:vAlign w:val="bottom"/>
            <w:gridSpan w:val="12"/>
          </w:tcPr>
          <w:p>
            <w:pPr>
              <w:spacing w:after="0"/>
              <w:rPr>
                <w:sz w:val="24"/>
                <w:szCs w:val="24"/>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6"/>
          </w:tcPr>
          <w:p>
            <w:pPr>
              <w:spacing w:after="0"/>
              <w:rPr>
                <w:rFonts w:ascii="Arial" w:cs="Arial" w:eastAsia="Arial" w:hAnsi="Arial"/>
                <w:sz w:val="18"/>
                <w:szCs w:val="18"/>
                <w:color w:val="0000FF"/>
              </w:rPr>
            </w:pPr>
            <w:hyperlink w:anchor="page263">
              <w:r>
                <w:rPr>
                  <w:rFonts w:ascii="Arial" w:cs="Arial" w:eastAsia="Arial" w:hAnsi="Arial"/>
                  <w:sz w:val="18"/>
                  <w:szCs w:val="18"/>
                  <w:color w:val="0000FF"/>
                </w:rPr>
                <w:t>Opinion of Cooley LLP.</w:t>
              </w:r>
            </w:hyperlink>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6"/>
          </w:tcPr>
          <w:p>
            <w:pPr>
              <w:spacing w:after="0"/>
              <w:rPr>
                <w:rFonts w:ascii="Arial" w:cs="Arial" w:eastAsia="Arial" w:hAnsi="Arial"/>
                <w:sz w:val="18"/>
                <w:szCs w:val="18"/>
                <w:color w:val="0000FF"/>
              </w:rPr>
            </w:pPr>
            <w:hyperlink r:id="rId139">
              <w:r>
                <w:rPr>
                  <w:rFonts w:ascii="Arial" w:cs="Arial" w:eastAsia="Arial" w:hAnsi="Arial"/>
                  <w:sz w:val="18"/>
                  <w:szCs w:val="18"/>
                  <w:color w:val="0000FF"/>
                </w:rPr>
                <w:t>Investors’ Rights Agreement, by and between the Registrant and certain holders of its capital stock, dated January 30, 2015.</w:t>
              </w:r>
            </w:hyperlink>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6"/>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Amendment of Investors' Rights Agreement, by and between the Registrant and certain holders of its capital stock, dated June 19, 2015.</w:t>
              </w:r>
            </w:hyperlink>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25"/>
          </w:tcPr>
          <w:p>
            <w:pPr>
              <w:spacing w:after="0"/>
              <w:rPr>
                <w:rFonts w:ascii="Arial" w:cs="Arial" w:eastAsia="Arial" w:hAnsi="Arial"/>
                <w:sz w:val="18"/>
                <w:szCs w:val="18"/>
                <w:color w:val="0000FF"/>
                <w:w w:val="90"/>
              </w:rPr>
            </w:pPr>
            <w:hyperlink r:id="rId141">
              <w:r>
                <w:rPr>
                  <w:rFonts w:ascii="Arial" w:cs="Arial" w:eastAsia="Arial" w:hAnsi="Arial"/>
                  <w:sz w:val="18"/>
                  <w:szCs w:val="18"/>
                  <w:color w:val="0000FF"/>
                  <w:w w:val="90"/>
                </w:rPr>
                <w:t>Second Amendment of Investors' Rights Agreement, by and between the Registrant and certain holders of its capital stock, dated August 26,</w:t>
              </w:r>
            </w:hyperlink>
          </w:p>
        </w:tc>
        <w:tc>
          <w:tcPr>
            <w:tcW w:w="6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41">
              <w:r>
                <w:rPr>
                  <w:rFonts w:ascii="Arial" w:cs="Arial" w:eastAsia="Arial" w:hAnsi="Arial"/>
                  <w:sz w:val="18"/>
                  <w:szCs w:val="18"/>
                  <w:color w:val="0000FF"/>
                  <w:w w:val="88"/>
                </w:rPr>
                <w:t>2015.</w:t>
              </w:r>
            </w:hyperlink>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22"/>
          </w:tcPr>
          <w:p>
            <w:pPr>
              <w:spacing w:after="0"/>
              <w:rPr>
                <w:rFonts w:ascii="Arial" w:cs="Arial" w:eastAsia="Arial" w:hAnsi="Arial"/>
                <w:sz w:val="18"/>
                <w:szCs w:val="18"/>
                <w:color w:val="0000FF"/>
                <w:w w:val="90"/>
              </w:rPr>
            </w:pPr>
            <w:hyperlink r:id="rId142">
              <w:r>
                <w:rPr>
                  <w:rFonts w:ascii="Arial" w:cs="Arial" w:eastAsia="Arial" w:hAnsi="Arial"/>
                  <w:sz w:val="18"/>
                  <w:szCs w:val="18"/>
                  <w:color w:val="0000FF"/>
                  <w:w w:val="90"/>
                </w:rPr>
                <w:t>Third Amendment of Investors' Rights Agreement, by and between the Registrant and certain holders of its capital stock, dated June 29,</w:t>
              </w:r>
            </w:hyperlink>
          </w:p>
        </w:tc>
        <w:tc>
          <w:tcPr>
            <w:tcW w:w="38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42">
              <w:r>
                <w:rPr>
                  <w:rFonts w:ascii="Arial" w:cs="Arial" w:eastAsia="Arial" w:hAnsi="Arial"/>
                  <w:sz w:val="18"/>
                  <w:szCs w:val="18"/>
                  <w:color w:val="0000FF"/>
                  <w:w w:val="88"/>
                </w:rPr>
                <w:t>2016.</w:t>
              </w:r>
            </w:hyperlink>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24"/>
          </w:tcPr>
          <w:p>
            <w:pPr>
              <w:spacing w:after="0"/>
              <w:rPr>
                <w:rFonts w:ascii="Arial" w:cs="Arial" w:eastAsia="Arial" w:hAnsi="Arial"/>
                <w:sz w:val="18"/>
                <w:szCs w:val="18"/>
                <w:color w:val="0000FF"/>
                <w:w w:val="90"/>
              </w:rPr>
            </w:pPr>
            <w:hyperlink r:id="rId143">
              <w:r>
                <w:rPr>
                  <w:rFonts w:ascii="Arial" w:cs="Arial" w:eastAsia="Arial" w:hAnsi="Arial"/>
                  <w:sz w:val="18"/>
                  <w:szCs w:val="18"/>
                  <w:color w:val="0000FF"/>
                  <w:w w:val="90"/>
                </w:rPr>
                <w:t>Amendment No. 4 to the Investors' Rights Agreement, by and between the Registrant and certain holders of its capital stock, dated April 7,</w:t>
              </w:r>
            </w:hyperlink>
          </w:p>
        </w:tc>
        <w:tc>
          <w:tcPr>
            <w:tcW w:w="16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43">
              <w:r>
                <w:rPr>
                  <w:rFonts w:ascii="Arial" w:cs="Arial" w:eastAsia="Arial" w:hAnsi="Arial"/>
                  <w:sz w:val="18"/>
                  <w:szCs w:val="18"/>
                  <w:color w:val="0000FF"/>
                  <w:w w:val="88"/>
                </w:rPr>
                <w:t>2020.</w:t>
              </w:r>
            </w:hyperlink>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0000FF"/>
            </w:tcBorders>
            <w:gridSpan w:val="4"/>
          </w:tcPr>
          <w:p>
            <w:pPr>
              <w:spacing w:after="0"/>
              <w:rPr>
                <w:rFonts w:ascii="Arial" w:cs="Arial" w:eastAsia="Arial" w:hAnsi="Arial"/>
                <w:sz w:val="18"/>
                <w:szCs w:val="18"/>
                <w:color w:val="0000FF"/>
                <w:w w:val="91"/>
              </w:rPr>
            </w:pPr>
            <w:hyperlink r:id="rId144">
              <w:r>
                <w:rPr>
                  <w:rFonts w:ascii="Arial" w:cs="Arial" w:eastAsia="Arial" w:hAnsi="Arial"/>
                  <w:sz w:val="18"/>
                  <w:szCs w:val="18"/>
                  <w:color w:val="0000FF"/>
                  <w:w w:val="91"/>
                </w:rPr>
                <w:t>2012 Equity Incentive Plan.</w:t>
              </w:r>
            </w:hyperlink>
          </w:p>
        </w:tc>
        <w:tc>
          <w:tcPr>
            <w:tcW w:w="8160" w:type="dxa"/>
            <w:vAlign w:val="bottom"/>
            <w:gridSpan w:val="22"/>
          </w:tcPr>
          <w:p>
            <w:pPr>
              <w:spacing w:after="0"/>
              <w:rPr>
                <w:sz w:val="24"/>
                <w:szCs w:val="24"/>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tcBorders>
              <w:bottom w:val="single" w:sz="8" w:color="0000FF"/>
            </w:tcBorders>
            <w:gridSpan w:val="19"/>
          </w:tcPr>
          <w:p>
            <w:pPr>
              <w:spacing w:after="0"/>
              <w:rPr>
                <w:rFonts w:ascii="Arial" w:cs="Arial" w:eastAsia="Arial" w:hAnsi="Arial"/>
                <w:sz w:val="18"/>
                <w:szCs w:val="18"/>
                <w:color w:val="0000FF"/>
                <w:w w:val="91"/>
              </w:rPr>
            </w:pPr>
            <w:hyperlink r:id="rId145">
              <w:r>
                <w:rPr>
                  <w:rFonts w:ascii="Arial" w:cs="Arial" w:eastAsia="Arial" w:hAnsi="Arial"/>
                  <w:sz w:val="18"/>
                  <w:szCs w:val="18"/>
                  <w:color w:val="0000FF"/>
                  <w:w w:val="91"/>
                </w:rPr>
                <w:t>Forms of Stock Option Agreement, Notice of Stock Option Grant, and Exercise Notice under the 2012 Equity Incentive Plan.</w:t>
              </w:r>
            </w:hyperlink>
          </w:p>
        </w:tc>
        <w:tc>
          <w:tcPr>
            <w:tcW w:w="1120" w:type="dxa"/>
            <w:vAlign w:val="bottom"/>
            <w:gridSpan w:val="7"/>
          </w:tcPr>
          <w:p>
            <w:pPr>
              <w:spacing w:after="0"/>
              <w:rPr>
                <w:sz w:val="24"/>
                <w:szCs w:val="24"/>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6"/>
          </w:tcPr>
          <w:p>
            <w:pPr>
              <w:spacing w:after="0"/>
              <w:rPr>
                <w:rFonts w:ascii="Arial" w:cs="Arial" w:eastAsia="Arial" w:hAnsi="Arial"/>
                <w:sz w:val="18"/>
                <w:szCs w:val="18"/>
                <w:color w:val="0000FF"/>
              </w:rPr>
            </w:pPr>
            <w:hyperlink r:id="rId146">
              <w:r>
                <w:rPr>
                  <w:rFonts w:ascii="Arial" w:cs="Arial" w:eastAsia="Arial" w:hAnsi="Arial"/>
                  <w:sz w:val="18"/>
                  <w:szCs w:val="18"/>
                  <w:color w:val="0000FF"/>
                </w:rPr>
                <w:t>Forms of Restricted Stock Unit Grant Notice and Restricted Stock Unit Award Agreement under the 2012 Equity Incentive Plan.</w:t>
              </w:r>
            </w:hyperlink>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top w:val="single" w:sz="8" w:color="0000FF"/>
            </w:tcBorders>
            <w:gridSpan w:val="21"/>
          </w:tcPr>
          <w:p>
            <w:pPr>
              <w:spacing w:after="0"/>
              <w:rPr>
                <w:rFonts w:ascii="Arial" w:cs="Arial" w:eastAsia="Arial" w:hAnsi="Arial"/>
                <w:sz w:val="18"/>
                <w:szCs w:val="18"/>
                <w:color w:val="0000FF"/>
              </w:rPr>
            </w:pPr>
            <w:hyperlink w:anchor="page265">
              <w:r>
                <w:rPr>
                  <w:rFonts w:ascii="Arial" w:cs="Arial" w:eastAsia="Arial" w:hAnsi="Arial"/>
                  <w:sz w:val="18"/>
                  <w:szCs w:val="18"/>
                  <w:color w:val="0000FF"/>
                </w:rPr>
                <w:t>2021 Equity Incentive Plan and form agreements thereunder.</w:t>
              </w:r>
            </w:hyperlink>
          </w:p>
        </w:tc>
        <w:tc>
          <w:tcPr>
            <w:tcW w:w="920" w:type="dxa"/>
            <w:vAlign w:val="bottom"/>
            <w:gridSpan w:val="5"/>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bottom w:val="single" w:sz="8" w:color="0000FF"/>
            </w:tcBorders>
            <w:gridSpan w:val="18"/>
          </w:tcPr>
          <w:p>
            <w:pPr>
              <w:spacing w:after="0"/>
              <w:rPr>
                <w:rFonts w:ascii="Arial" w:cs="Arial" w:eastAsia="Arial" w:hAnsi="Arial"/>
                <w:sz w:val="18"/>
                <w:szCs w:val="18"/>
                <w:color w:val="0000FF"/>
                <w:w w:val="91"/>
              </w:rPr>
            </w:pPr>
            <w:hyperlink w:anchor="page300">
              <w:r>
                <w:rPr>
                  <w:rFonts w:ascii="Arial" w:cs="Arial" w:eastAsia="Arial" w:hAnsi="Arial"/>
                  <w:sz w:val="18"/>
                  <w:szCs w:val="18"/>
                  <w:color w:val="0000FF"/>
                  <w:w w:val="91"/>
                </w:rPr>
                <w:t>Forms of Notice of Stock Option Grant, Stock Option Agreement, and Exercise Notice under the 2021 Equity Incentive Plan.</w:t>
              </w:r>
            </w:hyperlink>
          </w:p>
        </w:tc>
        <w:tc>
          <w:tcPr>
            <w:tcW w:w="1140" w:type="dxa"/>
            <w:vAlign w:val="bottom"/>
            <w:gridSpan w:val="8"/>
          </w:tcPr>
          <w:p>
            <w:pPr>
              <w:spacing w:after="0"/>
              <w:rPr>
                <w:sz w:val="24"/>
                <w:szCs w:val="24"/>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6"/>
          </w:tcPr>
          <w:p>
            <w:pPr>
              <w:spacing w:after="0"/>
              <w:rPr>
                <w:rFonts w:ascii="Arial" w:cs="Arial" w:eastAsia="Arial" w:hAnsi="Arial"/>
                <w:sz w:val="18"/>
                <w:szCs w:val="18"/>
                <w:color w:val="0000FF"/>
              </w:rPr>
            </w:pPr>
            <w:hyperlink w:anchor="page311">
              <w:r>
                <w:rPr>
                  <w:rFonts w:ascii="Arial" w:cs="Arial" w:eastAsia="Arial" w:hAnsi="Arial"/>
                  <w:sz w:val="18"/>
                  <w:szCs w:val="18"/>
                  <w:color w:val="0000FF"/>
                </w:rPr>
                <w:t>Form of Restricted Stock Unit Grant Notice and Award Agreement under the 2021 Equity Incentive Plan.</w:t>
              </w:r>
            </w:hyperlink>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319">
              <w:r>
                <w:rPr>
                  <w:rFonts w:ascii="Arial" w:cs="Arial" w:eastAsia="Arial" w:hAnsi="Arial"/>
                  <w:sz w:val="18"/>
                  <w:szCs w:val="18"/>
                  <w:color w:val="0000FF"/>
                  <w:w w:val="88"/>
                </w:rPr>
                <w:t>2021 Employee Stock Purchase Plan.</w:t>
              </w:r>
            </w:hyperlink>
          </w:p>
        </w:tc>
        <w:tc>
          <w:tcPr>
            <w:tcW w:w="4900" w:type="dxa"/>
            <w:vAlign w:val="bottom"/>
            <w:tcBorders>
              <w:top w:val="single" w:sz="8" w:color="0000FF"/>
            </w:tcBorders>
            <w:gridSpan w:val="7"/>
          </w:tcPr>
          <w:p>
            <w:pPr>
              <w:spacing w:after="0"/>
              <w:rPr>
                <w:sz w:val="24"/>
                <w:szCs w:val="24"/>
                <w:color w:val="auto"/>
              </w:rPr>
            </w:pPr>
          </w:p>
        </w:tc>
        <w:tc>
          <w:tcPr>
            <w:tcW w:w="2580" w:type="dxa"/>
            <w:vAlign w:val="bottom"/>
            <w:gridSpan w:val="13"/>
          </w:tcPr>
          <w:p>
            <w:pPr>
              <w:spacing w:after="0"/>
              <w:rPr>
                <w:sz w:val="24"/>
                <w:szCs w:val="24"/>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tcBorders>
              <w:bottom w:val="single" w:sz="8" w:color="0000FF"/>
            </w:tcBorders>
            <w:gridSpan w:val="16"/>
          </w:tcPr>
          <w:p>
            <w:pPr>
              <w:spacing w:after="0"/>
              <w:rPr>
                <w:rFonts w:ascii="Arial" w:cs="Arial" w:eastAsia="Arial" w:hAnsi="Arial"/>
                <w:sz w:val="18"/>
                <w:szCs w:val="18"/>
                <w:color w:val="0000FF"/>
                <w:w w:val="90"/>
              </w:rPr>
            </w:pPr>
            <w:hyperlink r:id="rId147">
              <w:r>
                <w:rPr>
                  <w:rFonts w:ascii="Arial" w:cs="Arial" w:eastAsia="Arial" w:hAnsi="Arial"/>
                  <w:sz w:val="18"/>
                  <w:szCs w:val="18"/>
                  <w:color w:val="0000FF"/>
                  <w:w w:val="90"/>
                </w:rPr>
                <w:t>Form of Indemnification Agreement entered into by and between the Registrant and each director and executive officer.</w:t>
              </w:r>
            </w:hyperlink>
          </w:p>
        </w:tc>
        <w:tc>
          <w:tcPr>
            <w:tcW w:w="1540" w:type="dxa"/>
            <w:vAlign w:val="bottom"/>
            <w:gridSpan w:val="10"/>
          </w:tcPr>
          <w:p>
            <w:pPr>
              <w:spacing w:after="0"/>
              <w:rPr>
                <w:sz w:val="24"/>
                <w:szCs w:val="24"/>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6"/>
          </w:tcPr>
          <w:p>
            <w:pPr>
              <w:spacing w:after="0"/>
              <w:rPr>
                <w:rFonts w:ascii="Arial" w:cs="Arial" w:eastAsia="Arial" w:hAnsi="Arial"/>
                <w:sz w:val="18"/>
                <w:szCs w:val="18"/>
                <w:color w:val="0000FF"/>
                <w:w w:val="91"/>
              </w:rPr>
            </w:pPr>
            <w:hyperlink r:id="rId148">
              <w:r>
                <w:rPr>
                  <w:rFonts w:ascii="Arial" w:cs="Arial" w:eastAsia="Arial" w:hAnsi="Arial"/>
                  <w:sz w:val="18"/>
                  <w:szCs w:val="18"/>
                  <w:color w:val="0000FF"/>
                  <w:w w:val="91"/>
                </w:rPr>
                <w:t>Amended and Restated Senior Secured Credit Facilities Credit Agreement between Silicon Valley Bank and the Registrant, dated February</w:t>
              </w:r>
            </w:hyperlink>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148">
              <w:r>
                <w:rPr>
                  <w:rFonts w:ascii="Arial" w:cs="Arial" w:eastAsia="Arial" w:hAnsi="Arial"/>
                  <w:sz w:val="18"/>
                  <w:szCs w:val="18"/>
                  <w:color w:val="0000FF"/>
                </w:rPr>
                <w:t>19, 2021.</w:t>
              </w:r>
            </w:hyperlink>
          </w:p>
        </w:tc>
        <w:tc>
          <w:tcPr>
            <w:tcW w:w="2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gridSpan w:val="15"/>
          </w:tcPr>
          <w:p>
            <w:pPr>
              <w:spacing w:after="0" w:line="20" w:lineRule="exact"/>
              <w:rPr>
                <w:sz w:val="1"/>
                <w:szCs w:val="1"/>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10"/>
          </w:tcPr>
          <w:p>
            <w:pPr>
              <w:spacing w:after="0"/>
              <w:rPr>
                <w:rFonts w:ascii="Arial" w:cs="Arial" w:eastAsia="Arial" w:hAnsi="Arial"/>
                <w:sz w:val="18"/>
                <w:szCs w:val="18"/>
                <w:color w:val="0000FF"/>
                <w:w w:val="89"/>
              </w:rPr>
            </w:pPr>
            <w:hyperlink r:id="rId149">
              <w:r>
                <w:rPr>
                  <w:rFonts w:ascii="Arial" w:cs="Arial" w:eastAsia="Arial" w:hAnsi="Arial"/>
                  <w:sz w:val="18"/>
                  <w:szCs w:val="18"/>
                  <w:color w:val="0000FF"/>
                  <w:w w:val="89"/>
                </w:rPr>
                <w:t>Sublease Agreement between Twitter, Inc. and the Registrant, dated October 16, 2016.</w:t>
              </w:r>
            </w:hyperlink>
          </w:p>
        </w:tc>
        <w:tc>
          <w:tcPr>
            <w:tcW w:w="3940" w:type="dxa"/>
            <w:vAlign w:val="bottom"/>
            <w:gridSpan w:val="16"/>
          </w:tcPr>
          <w:p>
            <w:pPr>
              <w:spacing w:after="0"/>
              <w:rPr>
                <w:sz w:val="24"/>
                <w:szCs w:val="24"/>
                <w:color w:val="auto"/>
              </w:rPr>
            </w:pPr>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26"/>
          </w:tcPr>
          <w:p>
            <w:pPr>
              <w:spacing w:after="0"/>
              <w:rPr>
                <w:rFonts w:ascii="Arial" w:cs="Arial" w:eastAsia="Arial" w:hAnsi="Arial"/>
                <w:sz w:val="18"/>
                <w:szCs w:val="18"/>
                <w:color w:val="0000FF"/>
              </w:rPr>
            </w:pPr>
            <w:hyperlink r:id="rId150">
              <w:r>
                <w:rPr>
                  <w:rFonts w:ascii="Arial" w:cs="Arial" w:eastAsia="Arial" w:hAnsi="Arial"/>
                  <w:sz w:val="18"/>
                  <w:szCs w:val="18"/>
                  <w:color w:val="0000FF"/>
                </w:rPr>
                <w:t>First Amendment to Sublease between Twitter, Inc. and Registrant, dated May 23, 2018.</w:t>
              </w:r>
            </w:hyperlink>
          </w:p>
        </w:tc>
      </w:tr>
      <w:tr>
        <w:trPr>
          <w:trHeight w:val="304"/>
        </w:trPr>
        <w:tc>
          <w:tcPr>
            <w:tcW w:w="960" w:type="dxa"/>
            <w:vAlign w:val="bottom"/>
          </w:tcPr>
          <w:p>
            <w:pPr>
              <w:ind w:left="20"/>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Borders>
              <w:top w:val="single" w:sz="8" w:color="0000FF"/>
            </w:tcBorders>
            <w:gridSpan w:val="11"/>
          </w:tcPr>
          <w:p>
            <w:pPr>
              <w:spacing w:after="0"/>
              <w:rPr>
                <w:rFonts w:ascii="Arial" w:cs="Arial" w:eastAsia="Arial" w:hAnsi="Arial"/>
                <w:sz w:val="18"/>
                <w:szCs w:val="18"/>
                <w:color w:val="0000FF"/>
                <w:w w:val="98"/>
              </w:rPr>
            </w:pPr>
            <w:hyperlink r:id="rId151">
              <w:r>
                <w:rPr>
                  <w:rFonts w:ascii="Arial" w:cs="Arial" w:eastAsia="Arial" w:hAnsi="Arial"/>
                  <w:sz w:val="18"/>
                  <w:szCs w:val="18"/>
                  <w:color w:val="0000FF"/>
                  <w:w w:val="98"/>
                </w:rPr>
                <w:t>Sublease Agreement between Yelp Inc. and the Registrant, dated April 27, 2021.</w:t>
              </w:r>
            </w:hyperlink>
          </w:p>
        </w:tc>
        <w:tc>
          <w:tcPr>
            <w:tcW w:w="3820" w:type="dxa"/>
            <w:vAlign w:val="bottom"/>
            <w:gridSpan w:val="15"/>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II-3</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9160" w:type="dxa"/>
            <w:vAlign w:val="bottom"/>
            <w:gridSpan w:val="11"/>
          </w:tcPr>
          <w:p>
            <w:pPr>
              <w:spacing w:after="0"/>
              <w:rPr>
                <w:rFonts w:ascii="Arial" w:cs="Arial" w:eastAsia="Arial" w:hAnsi="Arial"/>
                <w:sz w:val="18"/>
                <w:szCs w:val="18"/>
                <w:color w:val="0000FF"/>
              </w:rPr>
            </w:pPr>
            <w:hyperlink r:id="rId152">
              <w:r>
                <w:rPr>
                  <w:rFonts w:ascii="Arial" w:cs="Arial" w:eastAsia="Arial" w:hAnsi="Arial"/>
                  <w:sz w:val="18"/>
                  <w:szCs w:val="18"/>
                  <w:color w:val="0000FF"/>
                </w:rPr>
                <w:t>Offer Letter, by and between Lauren StClair and the Registrant, dated November 23, 2020.</w:t>
              </w:r>
            </w:hyperlink>
          </w:p>
        </w:tc>
      </w:tr>
      <w:tr>
        <w:trPr>
          <w:trHeight w:val="20"/>
        </w:trPr>
        <w:tc>
          <w:tcPr>
            <w:tcW w:w="104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7160" w:type="dxa"/>
            <w:vAlign w:val="bottom"/>
            <w:tcBorders>
              <w:bottom w:val="single" w:sz="8" w:color="0000FF"/>
            </w:tcBorders>
            <w:gridSpan w:val="9"/>
          </w:tcPr>
          <w:p>
            <w:pPr>
              <w:spacing w:after="0"/>
              <w:rPr>
                <w:rFonts w:ascii="Arial" w:cs="Arial" w:eastAsia="Arial" w:hAnsi="Arial"/>
                <w:sz w:val="18"/>
                <w:szCs w:val="18"/>
                <w:color w:val="0000FF"/>
                <w:w w:val="89"/>
              </w:rPr>
            </w:pPr>
            <w:hyperlink r:id="rId153">
              <w:r>
                <w:rPr>
                  <w:rFonts w:ascii="Arial" w:cs="Arial" w:eastAsia="Arial" w:hAnsi="Arial"/>
                  <w:sz w:val="18"/>
                  <w:szCs w:val="18"/>
                  <w:color w:val="0000FF"/>
                  <w:w w:val="89"/>
                </w:rPr>
                <w:t>Separation Agreement, by and between Laura Onopchenko and the Registrant, dated April 2, 2020.</w:t>
              </w:r>
            </w:hyperlink>
          </w:p>
        </w:tc>
        <w:tc>
          <w:tcPr>
            <w:tcW w:w="2000" w:type="dxa"/>
            <w:vAlign w:val="bottom"/>
            <w:gridSpan w:val="2"/>
          </w:tcPr>
          <w:p>
            <w:pPr>
              <w:spacing w:after="0"/>
              <w:rPr>
                <w:sz w:val="24"/>
                <w:szCs w:val="24"/>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9160" w:type="dxa"/>
            <w:vAlign w:val="bottom"/>
            <w:gridSpan w:val="11"/>
          </w:tcPr>
          <w:p>
            <w:pPr>
              <w:spacing w:after="0"/>
              <w:rPr>
                <w:rFonts w:ascii="Arial" w:cs="Arial" w:eastAsia="Arial" w:hAnsi="Arial"/>
                <w:sz w:val="18"/>
                <w:szCs w:val="18"/>
                <w:color w:val="0000FF"/>
              </w:rPr>
            </w:pPr>
            <w:hyperlink r:id="rId154">
              <w:r>
                <w:rPr>
                  <w:rFonts w:ascii="Arial" w:cs="Arial" w:eastAsia="Arial" w:hAnsi="Arial"/>
                  <w:sz w:val="18"/>
                  <w:szCs w:val="18"/>
                  <w:color w:val="0000FF"/>
                </w:rPr>
                <w:t>Side Letter, by and among entities affiliated with iGlobe Partners and the Registrant, dated November 26, 2020.</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8040" w:type="dxa"/>
            <w:vAlign w:val="bottom"/>
            <w:tcBorders>
              <w:top w:val="single" w:sz="8" w:color="0000FF"/>
            </w:tcBorders>
            <w:gridSpan w:val="10"/>
          </w:tcPr>
          <w:p>
            <w:pPr>
              <w:spacing w:after="0"/>
              <w:rPr>
                <w:rFonts w:ascii="Arial" w:cs="Arial" w:eastAsia="Arial" w:hAnsi="Arial"/>
                <w:sz w:val="18"/>
                <w:szCs w:val="18"/>
                <w:color w:val="0000FF"/>
              </w:rPr>
            </w:pPr>
            <w:hyperlink r:id="rId155">
              <w:r>
                <w:rPr>
                  <w:rFonts w:ascii="Arial" w:cs="Arial" w:eastAsia="Arial" w:hAnsi="Arial"/>
                  <w:sz w:val="18"/>
                  <w:szCs w:val="18"/>
                  <w:color w:val="0000FF"/>
                </w:rPr>
                <w:t>Side Letter, by and between Innovius Capital Sirius I L.P. and the Registrant, dated July 17, 2020.</w:t>
              </w:r>
            </w:hyperlink>
          </w:p>
        </w:tc>
        <w:tc>
          <w:tcPr>
            <w:tcW w:w="11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10.22</w:t>
            </w:r>
          </w:p>
        </w:tc>
        <w:tc>
          <w:tcPr>
            <w:tcW w:w="91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330">
              <w:r>
                <w:rPr>
                  <w:rFonts w:ascii="Arial" w:cs="Arial" w:eastAsia="Arial" w:hAnsi="Arial"/>
                  <w:sz w:val="18"/>
                  <w:szCs w:val="18"/>
                  <w:color w:val="0000FF"/>
                  <w:w w:val="90"/>
                </w:rPr>
                <w:t>Side Letter Amendment Agreement, by and between Innovius Capital Sirius I, L.P. and the Registrant, dated October 19, 2021.</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10.23+#</w:t>
            </w:r>
          </w:p>
        </w:tc>
        <w:tc>
          <w:tcPr>
            <w:tcW w:w="9160" w:type="dxa"/>
            <w:vAlign w:val="bottom"/>
            <w:gridSpan w:val="11"/>
          </w:tcPr>
          <w:p>
            <w:pPr>
              <w:spacing w:after="0"/>
              <w:rPr>
                <w:rFonts w:ascii="Arial" w:cs="Arial" w:eastAsia="Arial" w:hAnsi="Arial"/>
                <w:sz w:val="18"/>
                <w:szCs w:val="18"/>
                <w:color w:val="0000FF"/>
              </w:rPr>
            </w:pPr>
            <w:hyperlink r:id="rId156">
              <w:r>
                <w:rPr>
                  <w:rFonts w:ascii="Arial" w:cs="Arial" w:eastAsia="Arial" w:hAnsi="Arial"/>
                  <w:sz w:val="18"/>
                  <w:szCs w:val="18"/>
                  <w:color w:val="0000FF"/>
                </w:rPr>
                <w:t>Offer Letter, by and between Tim Chen and the Registrant, dated June 25, 2021.</w:t>
              </w:r>
            </w:hyperlink>
          </w:p>
        </w:tc>
      </w:tr>
      <w:tr>
        <w:trPr>
          <w:trHeight w:val="290"/>
        </w:trPr>
        <w:tc>
          <w:tcPr>
            <w:tcW w:w="1040" w:type="dxa"/>
            <w:vAlign w:val="bottom"/>
          </w:tcPr>
          <w:p>
            <w:pPr>
              <w:spacing w:after="0"/>
              <w:rPr>
                <w:sz w:val="20"/>
                <w:szCs w:val="20"/>
                <w:color w:val="auto"/>
              </w:rPr>
            </w:pPr>
            <w:r>
              <w:rPr>
                <w:rFonts w:ascii="Arial" w:cs="Arial" w:eastAsia="Arial" w:hAnsi="Arial"/>
                <w:sz w:val="18"/>
                <w:szCs w:val="18"/>
                <w:color w:val="auto"/>
              </w:rPr>
              <w:t>10.24+#</w:t>
            </w:r>
          </w:p>
        </w:tc>
        <w:tc>
          <w:tcPr>
            <w:tcW w:w="29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r:id="rId157">
              <w:r>
                <w:rPr>
                  <w:rFonts w:ascii="Arial" w:cs="Arial" w:eastAsia="Arial" w:hAnsi="Arial"/>
                  <w:sz w:val="18"/>
                  <w:szCs w:val="18"/>
                  <w:color w:val="0000FF"/>
                  <w:w w:val="89"/>
                </w:rPr>
                <w:t>Change of Control and Severance Policy.</w:t>
              </w:r>
            </w:hyperlink>
          </w:p>
        </w:tc>
        <w:tc>
          <w:tcPr>
            <w:tcW w:w="600" w:type="dxa"/>
            <w:vAlign w:val="bottom"/>
            <w:tcBorders>
              <w:top w:val="single" w:sz="8" w:color="0000FF"/>
            </w:tcBorders>
          </w:tcPr>
          <w:p>
            <w:pPr>
              <w:spacing w:after="0"/>
              <w:rPr>
                <w:sz w:val="24"/>
                <w:szCs w:val="24"/>
                <w:color w:val="auto"/>
              </w:rPr>
            </w:pPr>
          </w:p>
        </w:tc>
        <w:tc>
          <w:tcPr>
            <w:tcW w:w="21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2220" w:type="dxa"/>
            <w:vAlign w:val="bottom"/>
            <w:gridSpan w:val="4"/>
          </w:tcPr>
          <w:p>
            <w:pPr>
              <w:spacing w:after="0"/>
              <w:rPr>
                <w:sz w:val="24"/>
                <w:szCs w:val="24"/>
                <w:color w:val="auto"/>
              </w:rPr>
            </w:pPr>
          </w:p>
        </w:tc>
      </w:tr>
      <w:tr>
        <w:trPr>
          <w:trHeight w:val="264"/>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9160" w:type="dxa"/>
            <w:vAlign w:val="bottom"/>
            <w:gridSpan w:val="11"/>
          </w:tcPr>
          <w:p>
            <w:pPr>
              <w:spacing w:after="0"/>
              <w:rPr>
                <w:rFonts w:ascii="Arial" w:cs="Arial" w:eastAsia="Arial" w:hAnsi="Arial"/>
                <w:sz w:val="18"/>
                <w:szCs w:val="18"/>
                <w:color w:val="0000FF"/>
              </w:rPr>
            </w:pPr>
            <w:hyperlink r:id="rId158">
              <w:r>
                <w:rPr>
                  <w:rFonts w:ascii="Arial" w:cs="Arial" w:eastAsia="Arial" w:hAnsi="Arial"/>
                  <w:sz w:val="18"/>
                  <w:szCs w:val="18"/>
                  <w:color w:val="0000FF"/>
                </w:rPr>
                <w:t>List of subsidiaries of the Registrant.</w:t>
              </w:r>
            </w:hyperlink>
          </w:p>
        </w:tc>
      </w:tr>
      <w:tr>
        <w:trPr>
          <w:trHeight w:val="20"/>
        </w:trPr>
        <w:tc>
          <w:tcPr>
            <w:tcW w:w="104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9160" w:type="dxa"/>
            <w:vAlign w:val="bottom"/>
            <w:gridSpan w:val="11"/>
          </w:tcPr>
          <w:p>
            <w:pPr>
              <w:spacing w:after="0"/>
              <w:rPr>
                <w:rFonts w:ascii="Arial" w:cs="Arial" w:eastAsia="Arial" w:hAnsi="Arial"/>
                <w:sz w:val="18"/>
                <w:szCs w:val="18"/>
                <w:color w:val="0000FF"/>
              </w:rPr>
            </w:pPr>
            <w:hyperlink w:anchor="page334">
              <w:r>
                <w:rPr>
                  <w:rFonts w:ascii="Arial" w:cs="Arial" w:eastAsia="Arial" w:hAnsi="Arial"/>
                  <w:sz w:val="18"/>
                  <w:szCs w:val="18"/>
                  <w:color w:val="0000FF"/>
                </w:rPr>
                <w:t>Consent of Deloitte &amp; Touche LLP, independent registered public accounting firm.</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35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263">
              <w:r>
                <w:rPr>
                  <w:rFonts w:ascii="Arial" w:cs="Arial" w:eastAsia="Arial" w:hAnsi="Arial"/>
                  <w:sz w:val="18"/>
                  <w:szCs w:val="18"/>
                  <w:color w:val="0000FF"/>
                  <w:w w:val="93"/>
                </w:rPr>
                <w:t>Consent of Cooley LLP (included in Exhibit 5.1).</w:t>
              </w:r>
            </w:hyperlink>
          </w:p>
        </w:tc>
        <w:tc>
          <w:tcPr>
            <w:tcW w:w="2380" w:type="dxa"/>
            <w:vAlign w:val="bottom"/>
            <w:tcBorders>
              <w:top w:val="single" w:sz="8" w:color="0000FF"/>
            </w:tcBorders>
            <w:gridSpan w:val="2"/>
          </w:tcPr>
          <w:p>
            <w:pPr>
              <w:spacing w:after="0"/>
              <w:rPr>
                <w:sz w:val="24"/>
                <w:szCs w:val="24"/>
                <w:color w:val="auto"/>
              </w:rPr>
            </w:pPr>
          </w:p>
        </w:tc>
        <w:tc>
          <w:tcPr>
            <w:tcW w:w="3200" w:type="dxa"/>
            <w:vAlign w:val="bottom"/>
            <w:gridSpan w:val="6"/>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9160" w:type="dxa"/>
            <w:vAlign w:val="bottom"/>
            <w:gridSpan w:val="11"/>
          </w:tcPr>
          <w:p>
            <w:pPr>
              <w:spacing w:after="0"/>
              <w:rPr>
                <w:rFonts w:ascii="Arial" w:cs="Arial" w:eastAsia="Arial" w:hAnsi="Arial"/>
                <w:sz w:val="18"/>
                <w:szCs w:val="18"/>
                <w:color w:val="0000FF"/>
              </w:rPr>
            </w:pPr>
            <w:hyperlink r:id="rId159">
              <w:r>
                <w:rPr>
                  <w:rFonts w:ascii="Arial" w:cs="Arial" w:eastAsia="Arial" w:hAnsi="Arial"/>
                  <w:sz w:val="18"/>
                  <w:szCs w:val="18"/>
                  <w:color w:val="0000FF"/>
                </w:rPr>
                <w:t>Power of Attorney (included on signature page of the initial filing of this registration statement).</w:t>
              </w:r>
            </w:hyperlink>
          </w:p>
        </w:tc>
      </w:tr>
      <w:tr>
        <w:trPr>
          <w:trHeight w:val="20"/>
        </w:trPr>
        <w:tc>
          <w:tcPr>
            <w:tcW w:w="104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7"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Previously filed.</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Financial Statement Schedules.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jc w:val="both"/>
        <w:ind w:left="660" w:hanging="328"/>
        <w:spacing w:after="0" w:line="286" w:lineRule="auto"/>
        <w:tabs>
          <w:tab w:leader="none" w:pos="65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11" w:lineRule="exact"/>
        <w:rPr>
          <w:rFonts w:ascii="Arial" w:cs="Arial" w:eastAsia="Arial" w:hAnsi="Arial"/>
          <w:sz w:val="17"/>
          <w:szCs w:val="17"/>
          <w:color w:val="auto"/>
        </w:rPr>
      </w:pPr>
    </w:p>
    <w:p>
      <w:pPr>
        <w:jc w:val="both"/>
        <w:ind w:left="660" w:right="20" w:hanging="328"/>
        <w:spacing w:after="0" w:line="263" w:lineRule="auto"/>
        <w:tabs>
          <w:tab w:leader="none" w:pos="65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II-4</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Amendment No. 2 to the registration statement to be signed on its behalf by the undersigned, thereunto duly authorized, in the City of San Francisco, State of California, on October 26, 2021.</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NERDWALLET, INC.</w:t>
      </w:r>
    </w:p>
    <w:p>
      <w:pPr>
        <w:spacing w:after="0" w:line="337"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Tim Chen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2 to the registration statement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148"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28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9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228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Tim Chen</w:t>
      </w:r>
    </w:p>
    <w:p>
      <w:pPr>
        <w:spacing w:after="0" w:line="32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228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Lauren StClair</w:t>
      </w:r>
    </w:p>
    <w:p>
      <w:pPr>
        <w:spacing w:after="0" w:line="9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3228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Jennifer Ceran</w:t>
      </w:r>
    </w:p>
    <w:p>
      <w:pPr>
        <w:spacing w:after="0" w:line="104"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3228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Lynne Laube</w:t>
      </w:r>
    </w:p>
    <w:p>
      <w:pPr>
        <w:spacing w:after="0" w:line="104"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3228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Thomas Loverro</w:t>
      </w:r>
    </w:p>
    <w:p>
      <w:pPr>
        <w:spacing w:after="0" w:line="104"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3228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James D. Robinson III</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228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Tim Chen</w:t>
      </w:r>
    </w:p>
    <w:p>
      <w:pPr>
        <w:ind w:left="38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6"/>
        </w:trPr>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Executive Officer and Chairman of the</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26, 2021</w:t>
            </w:r>
          </w:p>
        </w:tc>
        <w:tc>
          <w:tcPr>
            <w:tcW w:w="0" w:type="dxa"/>
            <w:vAlign w:val="bottom"/>
          </w:tcPr>
          <w:p>
            <w:pPr>
              <w:spacing w:after="0"/>
              <w:rPr>
                <w:sz w:val="1"/>
                <w:szCs w:val="1"/>
                <w:color w:val="auto"/>
              </w:rPr>
            </w:pPr>
          </w:p>
        </w:tc>
      </w:tr>
      <w:tr>
        <w:trPr>
          <w:trHeight w:val="176"/>
        </w:trPr>
        <w:tc>
          <w:tcPr>
            <w:tcW w:w="3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Board of Directors</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4"/>
              </w:rPr>
              <w:t>(Principal Executive Officer)</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26, 2021</w:t>
            </w:r>
          </w:p>
        </w:tc>
        <w:tc>
          <w:tcPr>
            <w:tcW w:w="0" w:type="dxa"/>
            <w:vAlign w:val="bottom"/>
          </w:tcPr>
          <w:p>
            <w:pPr>
              <w:spacing w:after="0"/>
              <w:rPr>
                <w:sz w:val="1"/>
                <w:szCs w:val="1"/>
                <w:color w:val="auto"/>
              </w:rPr>
            </w:pPr>
          </w:p>
        </w:tc>
      </w:tr>
      <w:tr>
        <w:trPr>
          <w:trHeight w:val="203"/>
        </w:trPr>
        <w:tc>
          <w:tcPr>
            <w:tcW w:w="38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Principal Accounting</w:t>
            </w:r>
          </w:p>
        </w:tc>
        <w:tc>
          <w:tcPr>
            <w:tcW w:w="3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8"/>
              </w:rPr>
              <w:t>Officer</w:t>
            </w:r>
            <w:r>
              <w:rPr>
                <w:rFonts w:ascii="Arial" w:cs="Arial" w:eastAsia="Arial" w:hAnsi="Arial"/>
                <w:sz w:val="18"/>
                <w:szCs w:val="18"/>
                <w:color w:val="auto"/>
                <w:w w:val="98"/>
              </w:rPr>
              <w:t>)</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8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October 26, 2021</w:t>
            </w:r>
          </w:p>
        </w:tc>
        <w:tc>
          <w:tcPr>
            <w:tcW w:w="0" w:type="dxa"/>
            <w:vAlign w:val="bottom"/>
          </w:tcPr>
          <w:p>
            <w:pPr>
              <w:spacing w:after="0"/>
              <w:rPr>
                <w:sz w:val="1"/>
                <w:szCs w:val="1"/>
                <w:color w:val="auto"/>
              </w:rPr>
            </w:pPr>
          </w:p>
        </w:tc>
      </w:tr>
      <w:tr>
        <w:trPr>
          <w:trHeight w:val="594"/>
        </w:trPr>
        <w:tc>
          <w:tcPr>
            <w:tcW w:w="38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October 26, 2021</w:t>
            </w:r>
          </w:p>
        </w:tc>
        <w:tc>
          <w:tcPr>
            <w:tcW w:w="0" w:type="dxa"/>
            <w:vAlign w:val="bottom"/>
          </w:tcPr>
          <w:p>
            <w:pPr>
              <w:spacing w:after="0"/>
              <w:rPr>
                <w:sz w:val="1"/>
                <w:szCs w:val="1"/>
                <w:color w:val="auto"/>
              </w:rPr>
            </w:pPr>
          </w:p>
        </w:tc>
      </w:tr>
      <w:tr>
        <w:trPr>
          <w:trHeight w:val="594"/>
        </w:trPr>
        <w:tc>
          <w:tcPr>
            <w:tcW w:w="38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October 26, 2021</w:t>
            </w:r>
          </w:p>
        </w:tc>
        <w:tc>
          <w:tcPr>
            <w:tcW w:w="0" w:type="dxa"/>
            <w:vAlign w:val="bottom"/>
          </w:tcPr>
          <w:p>
            <w:pPr>
              <w:spacing w:after="0"/>
              <w:rPr>
                <w:sz w:val="1"/>
                <w:szCs w:val="1"/>
                <w:color w:val="auto"/>
              </w:rPr>
            </w:pPr>
          </w:p>
        </w:tc>
      </w:tr>
      <w:tr>
        <w:trPr>
          <w:trHeight w:val="675"/>
        </w:trPr>
        <w:tc>
          <w:tcPr>
            <w:tcW w:w="38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October 26, 2021</w:t>
            </w:r>
          </w:p>
        </w:tc>
        <w:tc>
          <w:tcPr>
            <w:tcW w:w="0" w:type="dxa"/>
            <w:vAlign w:val="bottom"/>
          </w:tcPr>
          <w:p>
            <w:pPr>
              <w:spacing w:after="0"/>
              <w:rPr>
                <w:sz w:val="1"/>
                <w:szCs w:val="1"/>
                <w:color w:val="auto"/>
              </w:rPr>
            </w:pPr>
          </w:p>
        </w:tc>
      </w:tr>
    </w:tbl>
    <w:p>
      <w:pPr>
        <w:spacing w:after="0" w:line="1070" w:lineRule="exact"/>
        <w:rPr>
          <w:sz w:val="20"/>
          <w:szCs w:val="20"/>
          <w:color w:val="auto"/>
        </w:rPr>
      </w:pPr>
    </w:p>
    <w:p>
      <w:pPr>
        <w:sectPr>
          <w:pgSz w:w="11900" w:h="16838" w:orient="portrait"/>
          <w:cols w:equalWidth="0" w:num="2">
            <w:col w:w="3040" w:space="720"/>
            <w:col w:w="74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II-5</w:t>
      </w:r>
    </w:p>
    <w:p>
      <w:pPr>
        <w:sectPr>
          <w:pgSz w:w="11900" w:h="16838" w:orient="portrait"/>
          <w:cols w:equalWidth="0" w:num="1">
            <w:col w:w="11240"/>
          </w:cols>
          <w:pgMar w:left="320" w:top="1440" w:right="339" w:bottom="1440" w:gutter="0" w:footer="0" w:header="0"/>
          <w:type w:val="continuous"/>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60" w:hanging="129"/>
        <w:spacing w:after="0"/>
        <w:tabs>
          <w:tab w:leader="none" w:pos="526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l ] Shares</w:t>
      </w:r>
    </w:p>
    <w:p>
      <w:pPr>
        <w:spacing w:after="0" w:line="200" w:lineRule="exact"/>
        <w:rPr>
          <w:rFonts w:ascii="Arial" w:cs="Arial" w:eastAsia="Arial" w:hAnsi="Arial"/>
          <w:sz w:val="22"/>
          <w:szCs w:val="22"/>
          <w:b w:val="1"/>
          <w:bCs w:val="1"/>
          <w:color w:val="auto"/>
        </w:rPr>
      </w:pPr>
    </w:p>
    <w:p>
      <w:pPr>
        <w:spacing w:after="0" w:line="348" w:lineRule="exact"/>
        <w:rPr>
          <w:rFonts w:ascii="Arial" w:cs="Arial" w:eastAsia="Arial" w:hAnsi="Arial"/>
          <w:sz w:val="22"/>
          <w:szCs w:val="22"/>
          <w:b w:val="1"/>
          <w:bCs w:val="1"/>
          <w:color w:val="auto"/>
        </w:rPr>
      </w:pPr>
    </w:p>
    <w:p>
      <w:pPr>
        <w:ind w:left="4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NERDWALLET, INC.</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CLASS A COMMON STOCK, PAR VALUE $0.0001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 2021</w:t>
      </w:r>
    </w:p>
    <w:p>
      <w:pPr>
        <w:sectPr>
          <w:pgSz w:w="11900" w:h="16838" w:orient="portrait"/>
          <w:cols w:equalWidth="0" w:num="1">
            <w:col w:w="11240"/>
          </w:cols>
          <w:pgMar w:left="320" w:top="121" w:right="339" w:bottom="1440" w:gutter="0" w:footer="0" w:header="0"/>
        </w:sectPr>
      </w:pPr>
    </w:p>
    <w:bookmarkStart w:id="206" w:name="page207"/>
    <w:bookmarkEnd w:id="206"/>
    <w:p>
      <w:pPr>
        <w:ind w:left="9080"/>
        <w:spacing w:after="0"/>
        <w:rPr>
          <w:sz w:val="20"/>
          <w:szCs w:val="20"/>
          <w:color w:val="auto"/>
        </w:rPr>
      </w:pPr>
      <w:r>
        <w:rPr>
          <w:rFonts w:ascii="Arial" w:cs="Arial" w:eastAsia="Arial" w:hAnsi="Arial"/>
          <w:sz w:val="19"/>
          <w:szCs w:val="19"/>
          <w:color w:val="auto"/>
        </w:rPr>
        <w:t>_______________, 2021</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Morgan Stanley &amp; Co.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KeyBanc Capital Markets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KeyBanc Capital Markets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127 Public Square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Cleveland, OH 44114</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BofA Securities,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One Bryant Park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10036</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60"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NerdWallet,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proposes to issue and sell to the several Underwriters named in Schedule I hereto (the “</w:t>
      </w:r>
      <w:r>
        <w:rPr>
          <w:rFonts w:ascii="Arial" w:cs="Arial" w:eastAsia="Arial" w:hAnsi="Arial"/>
          <w:sz w:val="21"/>
          <w:szCs w:val="21"/>
          <w:b w:val="1"/>
          <w:bCs w:val="1"/>
          <w:color w:val="auto"/>
        </w:rPr>
        <w:t>Underwriters</w:t>
      </w:r>
      <w:r>
        <w:rPr>
          <w:rFonts w:ascii="Arial" w:cs="Arial" w:eastAsia="Arial" w:hAnsi="Arial"/>
          <w:sz w:val="21"/>
          <w:szCs w:val="21"/>
          <w:color w:val="auto"/>
        </w:rPr>
        <w:t>”) [</w:t>
      </w:r>
      <w:r>
        <w:rPr>
          <w:rFonts w:ascii="Arial" w:cs="Arial" w:eastAsia="Arial" w:hAnsi="Arial"/>
          <w:sz w:val="21"/>
          <w:szCs w:val="21"/>
          <w:b w:val="1"/>
          <w:bCs w:val="1"/>
          <w:color w:val="auto"/>
        </w:rPr>
        <w:t>l</w:t>
      </w:r>
      <w:r>
        <w:rPr>
          <w:rFonts w:ascii="Arial" w:cs="Arial" w:eastAsia="Arial" w:hAnsi="Arial"/>
          <w:sz w:val="21"/>
          <w:szCs w:val="21"/>
          <w:color w:val="auto"/>
        </w:rPr>
        <w:t>] shares of its Class A common stock, $0.0001 par value per share (the “</w:t>
      </w:r>
      <w:r>
        <w:rPr>
          <w:rFonts w:ascii="Arial" w:cs="Arial" w:eastAsia="Arial" w:hAnsi="Arial"/>
          <w:sz w:val="21"/>
          <w:szCs w:val="21"/>
          <w:b w:val="1"/>
          <w:bCs w:val="1"/>
          <w:color w:val="auto"/>
        </w:rPr>
        <w:t>Firm</w:t>
      </w:r>
      <w:r>
        <w:rPr>
          <w:rFonts w:ascii="Arial" w:cs="Arial" w:eastAsia="Arial" w:hAnsi="Arial"/>
          <w:sz w:val="21"/>
          <w:szCs w:val="21"/>
          <w:color w:val="auto"/>
        </w:rPr>
        <w:t xml:space="preserve"> </w:t>
      </w:r>
      <w:r>
        <w:rPr>
          <w:rFonts w:ascii="Arial" w:cs="Arial" w:eastAsia="Arial" w:hAnsi="Arial"/>
          <w:sz w:val="21"/>
          <w:szCs w:val="21"/>
          <w:b w:val="1"/>
          <w:bCs w:val="1"/>
          <w:color w:val="auto"/>
        </w:rPr>
        <w:t>Shares</w:t>
      </w:r>
      <w:r>
        <w:rPr>
          <w:rFonts w:ascii="Arial" w:cs="Arial" w:eastAsia="Arial" w:hAnsi="Arial"/>
          <w:sz w:val="21"/>
          <w:szCs w:val="21"/>
          <w:color w:val="auto"/>
        </w:rPr>
        <w:t>”). The Company also proposes to issue and sell to the several Underwriters not more than an additional [</w:t>
      </w:r>
      <w:r>
        <w:rPr>
          <w:rFonts w:ascii="Arial" w:cs="Arial" w:eastAsia="Arial" w:hAnsi="Arial"/>
          <w:sz w:val="21"/>
          <w:szCs w:val="21"/>
          <w:b w:val="1"/>
          <w:bCs w:val="1"/>
          <w:color w:val="auto"/>
        </w:rPr>
        <w:t>l</w:t>
      </w:r>
      <w:r>
        <w:rPr>
          <w:rFonts w:ascii="Arial" w:cs="Arial" w:eastAsia="Arial" w:hAnsi="Arial"/>
          <w:sz w:val="21"/>
          <w:szCs w:val="21"/>
          <w:color w:val="auto"/>
        </w:rPr>
        <w:t>] shares of its</w:t>
      </w:r>
      <w:r>
        <w:rPr>
          <w:rFonts w:ascii="Arial" w:cs="Arial" w:eastAsia="Arial" w:hAnsi="Arial"/>
          <w:sz w:val="21"/>
          <w:szCs w:val="21"/>
          <w:b w:val="1"/>
          <w:bCs w:val="1"/>
          <w:color w:val="auto"/>
        </w:rPr>
        <w:t xml:space="preserve"> </w:t>
      </w:r>
      <w:r>
        <w:rPr>
          <w:rFonts w:ascii="Arial" w:cs="Arial" w:eastAsia="Arial" w:hAnsi="Arial"/>
          <w:sz w:val="21"/>
          <w:szCs w:val="21"/>
          <w:color w:val="auto"/>
        </w:rPr>
        <w:t>Class A common stock, $0.0001 par value per share, (the “</w:t>
      </w:r>
      <w:r>
        <w:rPr>
          <w:rFonts w:ascii="Arial" w:cs="Arial" w:eastAsia="Arial" w:hAnsi="Arial"/>
          <w:sz w:val="21"/>
          <w:szCs w:val="21"/>
          <w:b w:val="1"/>
          <w:bCs w:val="1"/>
          <w:color w:val="auto"/>
        </w:rPr>
        <w:t>Additional Shares</w:t>
      </w:r>
      <w:r>
        <w:rPr>
          <w:rFonts w:ascii="Arial" w:cs="Arial" w:eastAsia="Arial" w:hAnsi="Arial"/>
          <w:sz w:val="21"/>
          <w:szCs w:val="21"/>
          <w:color w:val="auto"/>
        </w:rPr>
        <w:t>”) if and to the extent that Morgan Stanley &amp; Co. LLC, KeyBanc Capital Markets Inc. and BofA Securities, Inc. (the “</w:t>
      </w:r>
      <w:r>
        <w:rPr>
          <w:rFonts w:ascii="Arial" w:cs="Arial" w:eastAsia="Arial" w:hAnsi="Arial"/>
          <w:sz w:val="21"/>
          <w:szCs w:val="21"/>
          <w:b w:val="1"/>
          <w:bCs w:val="1"/>
          <w:color w:val="auto"/>
        </w:rPr>
        <w:t>Representatives</w:t>
      </w:r>
      <w:r>
        <w:rPr>
          <w:rFonts w:ascii="Arial" w:cs="Arial" w:eastAsia="Arial" w:hAnsi="Arial"/>
          <w:sz w:val="21"/>
          <w:szCs w:val="21"/>
          <w:color w:val="auto"/>
        </w:rPr>
        <w:t>”)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21"/>
          <w:szCs w:val="21"/>
          <w:b w:val="1"/>
          <w:bCs w:val="1"/>
          <w:color w:val="auto"/>
        </w:rPr>
        <w:t>Shares.</w:t>
      </w:r>
      <w:r>
        <w:rPr>
          <w:rFonts w:ascii="Arial" w:cs="Arial" w:eastAsia="Arial" w:hAnsi="Arial"/>
          <w:sz w:val="21"/>
          <w:szCs w:val="21"/>
          <w:color w:val="auto"/>
        </w:rPr>
        <w:t>” The shares of Class A common stock,$0.0001 par value per share, of the Company to be outstanding after giving effect to the sales contemplated hereby are hereinafter referred to as the “</w:t>
      </w:r>
      <w:r>
        <w:rPr>
          <w:rFonts w:ascii="Arial" w:cs="Arial" w:eastAsia="Arial" w:hAnsi="Arial"/>
          <w:sz w:val="21"/>
          <w:szCs w:val="21"/>
          <w:b w:val="1"/>
          <w:bCs w:val="1"/>
          <w:color w:val="auto"/>
        </w:rPr>
        <w:t>Common Stock</w:t>
      </w:r>
      <w:r>
        <w:rPr>
          <w:rFonts w:ascii="Arial" w:cs="Arial" w:eastAsia="Arial" w:hAnsi="Arial"/>
          <w:sz w:val="21"/>
          <w:szCs w:val="21"/>
          <w:color w:val="auto"/>
        </w:rPr>
        <w:t>.”</w:t>
      </w:r>
    </w:p>
    <w:p>
      <w:pPr>
        <w:spacing w:after="0" w:line="1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21"/>
          <w:szCs w:val="21"/>
          <w:color w:val="auto"/>
        </w:rPr>
        <w:t>The Company has filed with the Securities and Exchange Commission (the “</w:t>
      </w:r>
      <w:r>
        <w:rPr>
          <w:rFonts w:ascii="Arial" w:cs="Arial" w:eastAsia="Arial" w:hAnsi="Arial"/>
          <w:sz w:val="21"/>
          <w:szCs w:val="21"/>
          <w:b w:val="1"/>
          <w:bCs w:val="1"/>
          <w:color w:val="auto"/>
        </w:rPr>
        <w:t>Commission</w:t>
      </w:r>
      <w:r>
        <w:rPr>
          <w:rFonts w:ascii="Arial" w:cs="Arial" w:eastAsia="Arial" w:hAnsi="Arial"/>
          <w:sz w:val="21"/>
          <w:szCs w:val="21"/>
          <w:color w:val="auto"/>
        </w:rPr>
        <w:t>”) a registration statement on Form S-1 (File No. 333-260134),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21"/>
          <w:szCs w:val="21"/>
          <w:b w:val="1"/>
          <w:bCs w:val="1"/>
          <w:color w:val="auto"/>
        </w:rPr>
        <w:t>Securities Act</w:t>
      </w:r>
      <w:r>
        <w:rPr>
          <w:rFonts w:ascii="Arial" w:cs="Arial" w:eastAsia="Arial" w:hAnsi="Arial"/>
          <w:sz w:val="21"/>
          <w:szCs w:val="21"/>
          <w:color w:val="auto"/>
        </w:rPr>
        <w:t>”), is hereinafter referred to as the “</w:t>
      </w:r>
      <w:r>
        <w:rPr>
          <w:rFonts w:ascii="Arial" w:cs="Arial" w:eastAsia="Arial" w:hAnsi="Arial"/>
          <w:sz w:val="21"/>
          <w:szCs w:val="21"/>
          <w:b w:val="1"/>
          <w:bCs w:val="1"/>
          <w:color w:val="auto"/>
        </w:rPr>
        <w:t>Registration Statement</w:t>
      </w:r>
      <w:r>
        <w:rPr>
          <w:rFonts w:ascii="Arial" w:cs="Arial" w:eastAsia="Arial" w:hAnsi="Arial"/>
          <w:sz w:val="21"/>
          <w:szCs w:val="21"/>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21"/>
          <w:szCs w:val="21"/>
          <w:b w:val="1"/>
          <w:bCs w:val="1"/>
          <w:color w:val="auto"/>
        </w:rPr>
        <w:t>Prospectus</w:t>
      </w:r>
      <w:r>
        <w:rPr>
          <w:rFonts w:ascii="Arial" w:cs="Arial" w:eastAsia="Arial" w:hAnsi="Arial"/>
          <w:sz w:val="21"/>
          <w:szCs w:val="21"/>
          <w:color w:val="auto"/>
        </w:rPr>
        <w:t>.” If the Company has filed an abbreviated registration statement to register additional shares of Common Stock pursuant to Rule 462(b) under the Securities Act (a “</w:t>
      </w:r>
      <w:r>
        <w:rPr>
          <w:rFonts w:ascii="Arial" w:cs="Arial" w:eastAsia="Arial" w:hAnsi="Arial"/>
          <w:sz w:val="21"/>
          <w:szCs w:val="21"/>
          <w:b w:val="1"/>
          <w:bCs w:val="1"/>
          <w:color w:val="auto"/>
        </w:rPr>
        <w:t>Rule 462 Registration Statement</w:t>
      </w:r>
      <w:r>
        <w:rPr>
          <w:rFonts w:ascii="Arial" w:cs="Arial" w:eastAsia="Arial" w:hAnsi="Arial"/>
          <w:sz w:val="21"/>
          <w:szCs w:val="21"/>
          <w:color w:val="auto"/>
        </w:rPr>
        <w:t>”), then any reference herein to the term “</w:t>
      </w:r>
      <w:r>
        <w:rPr>
          <w:rFonts w:ascii="Arial" w:cs="Arial" w:eastAsia="Arial" w:hAnsi="Arial"/>
          <w:sz w:val="21"/>
          <w:szCs w:val="21"/>
          <w:b w:val="1"/>
          <w:bCs w:val="1"/>
          <w:color w:val="auto"/>
        </w:rPr>
        <w:t>Registration Statement</w:t>
      </w:r>
      <w:r>
        <w:rPr>
          <w:rFonts w:ascii="Arial" w:cs="Arial" w:eastAsia="Arial" w:hAnsi="Arial"/>
          <w:sz w:val="21"/>
          <w:szCs w:val="21"/>
          <w:color w:val="auto"/>
        </w:rPr>
        <w:t>” shall be deemed to include such Rule 462 Registration Statement.</w:t>
      </w:r>
    </w:p>
    <w:p>
      <w:pPr>
        <w:sectPr>
          <w:pgSz w:w="11900" w:h="16838" w:orient="portrait"/>
          <w:cols w:equalWidth="0" w:num="1">
            <w:col w:w="11240"/>
          </w:cols>
          <w:pgMar w:left="320" w:top="1428" w:right="339" w:bottom="1440" w:gutter="0" w:footer="0" w:header="0"/>
        </w:sectPr>
      </w:pPr>
    </w:p>
    <w:bookmarkStart w:id="207" w:name="page208"/>
    <w:bookmarkEnd w:id="207"/>
    <w:p>
      <w:pPr>
        <w:ind w:right="200" w:firstLine="648"/>
        <w:spacing w:after="0" w:line="290"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free writing prospectus</w:t>
      </w:r>
      <w:r>
        <w:rPr>
          <w:rFonts w:ascii="Arial" w:cs="Arial" w:eastAsia="Arial" w:hAnsi="Arial"/>
          <w:sz w:val="19"/>
          <w:szCs w:val="19"/>
          <w:color w:val="auto"/>
        </w:rPr>
        <w:t>” has the meaning set forth in Rule 405 under the Securities Act, “</w:t>
      </w:r>
      <w:r>
        <w:rPr>
          <w:rFonts w:ascii="Arial" w:cs="Arial" w:eastAsia="Arial" w:hAnsi="Arial"/>
          <w:sz w:val="19"/>
          <w:szCs w:val="19"/>
          <w:b w:val="1"/>
          <w:bCs w:val="1"/>
          <w:color w:val="auto"/>
        </w:rPr>
        <w:t>preliminary prospectus</w:t>
      </w:r>
      <w:r>
        <w:rPr>
          <w:rFonts w:ascii="Arial" w:cs="Arial" w:eastAsia="Arial" w:hAnsi="Arial"/>
          <w:sz w:val="19"/>
          <w:szCs w:val="19"/>
          <w:color w:val="auto"/>
        </w:rPr>
        <w:t>”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Arial" w:cs="Arial" w:eastAsia="Arial" w:hAnsi="Arial"/>
          <w:sz w:val="19"/>
          <w:szCs w:val="19"/>
          <w:b w:val="1"/>
          <w:bCs w:val="1"/>
          <w:color w:val="auto"/>
        </w:rPr>
        <w:t>Time of Sale Prospectus</w:t>
      </w:r>
      <w:r>
        <w:rPr>
          <w:rFonts w:ascii="Arial" w:cs="Arial" w:eastAsia="Arial" w:hAnsi="Arial"/>
          <w:sz w:val="19"/>
          <w:szCs w:val="19"/>
          <w:color w:val="auto"/>
        </w:rPr>
        <w:t>” means the preliminary prospectus contained in the Registration Statement at the time of its effectiveness together with the documents and pricing information and the free writing prospectuses, if any, set forth in Schedule II hereto, and “</w:t>
      </w:r>
      <w:r>
        <w:rPr>
          <w:rFonts w:ascii="Arial" w:cs="Arial" w:eastAsia="Arial" w:hAnsi="Arial"/>
          <w:sz w:val="19"/>
          <w:szCs w:val="19"/>
          <w:b w:val="1"/>
          <w:bCs w:val="1"/>
          <w:color w:val="auto"/>
        </w:rPr>
        <w:t>broadly available road show</w:t>
      </w:r>
      <w:r>
        <w:rPr>
          <w:rFonts w:ascii="Arial" w:cs="Arial" w:eastAsia="Arial" w:hAnsi="Arial"/>
          <w:sz w:val="19"/>
          <w:szCs w:val="19"/>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00"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The Company agrees and confirms that references to “affiliates” of Morgan Stanley &amp; Co. LLC that appear in this Agreement shall be understood to include Mitsubishi UFJ Morgan Stanley Securities Co., Ltd.</w:t>
      </w:r>
    </w:p>
    <w:p>
      <w:pPr>
        <w:spacing w:after="0" w:line="121" w:lineRule="exact"/>
        <w:rPr>
          <w:sz w:val="20"/>
          <w:szCs w:val="20"/>
          <w:color w:val="auto"/>
        </w:rPr>
      </w:pPr>
    </w:p>
    <w:p>
      <w:pPr>
        <w:ind w:left="1200" w:hanging="382"/>
        <w:spacing w:after="0"/>
        <w:tabs>
          <w:tab w:leader="none" w:pos="1200" w:val="left"/>
        </w:tabs>
        <w:numPr>
          <w:ilvl w:val="0"/>
          <w:numId w:val="129"/>
        </w:numPr>
        <w:rPr>
          <w:rFonts w:ascii="Arial" w:cs="Arial" w:eastAsia="Arial" w:hAnsi="Arial"/>
          <w:sz w:val="19"/>
          <w:szCs w:val="19"/>
          <w:color w:val="auto"/>
        </w:rPr>
      </w:pP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The Company represents and warrants to and agrees with each of the Underwriters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148" w:lineRule="exact"/>
        <w:rPr>
          <w:sz w:val="20"/>
          <w:szCs w:val="20"/>
          <w:color w:val="auto"/>
        </w:rPr>
      </w:pPr>
    </w:p>
    <w:p>
      <w:pPr>
        <w:ind w:left="660" w:right="300" w:firstLine="968"/>
        <w:spacing w:after="0" w:line="253" w:lineRule="auto"/>
        <w:tabs>
          <w:tab w:leader="none" w:pos="208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Registration Statement has become effective; no stop order suspending the effectiveness of the Registration Statement is in effect, and no proceedings for such purpose or pursuant to Section 8A under the Securities Act are pending before or threatened by the Commission.</w:t>
      </w:r>
    </w:p>
    <w:p>
      <w:pPr>
        <w:spacing w:after="0" w:line="131" w:lineRule="exact"/>
        <w:rPr>
          <w:rFonts w:ascii="Arial" w:cs="Arial" w:eastAsia="Arial" w:hAnsi="Arial"/>
          <w:sz w:val="22"/>
          <w:szCs w:val="22"/>
          <w:color w:val="auto"/>
        </w:rPr>
      </w:pPr>
    </w:p>
    <w:p>
      <w:pPr>
        <w:ind w:left="660" w:right="20" w:firstLine="968"/>
        <w:spacing w:after="0" w:line="286" w:lineRule="auto"/>
        <w:tabs>
          <w:tab w:leader="none" w:pos="210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 the Registration Statement and the Prospectus comply and, as amended or supplemented, if applicable, will, as of the date of such amendment or supplement,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2" w:right="359" w:bottom="1440" w:gutter="0" w:footer="0" w:header="0"/>
        </w:sectPr>
      </w:pPr>
    </w:p>
    <w:bookmarkStart w:id="208" w:name="page209"/>
    <w:bookmarkEnd w:id="208"/>
    <w:p>
      <w:pPr>
        <w:spacing w:after="0" w:line="312" w:lineRule="auto"/>
        <w:rPr>
          <w:sz w:val="20"/>
          <w:szCs w:val="20"/>
          <w:color w:val="auto"/>
        </w:rPr>
      </w:pPr>
      <w:r>
        <w:rPr>
          <w:rFonts w:ascii="Arial" w:cs="Arial" w:eastAsia="Arial" w:hAnsi="Arial"/>
          <w:sz w:val="19"/>
          <w:szCs w:val="19"/>
          <w:color w:val="auto"/>
        </w:rPr>
        <w:t>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79" w:lineRule="exact"/>
        <w:rPr>
          <w:sz w:val="20"/>
          <w:szCs w:val="20"/>
          <w:color w:val="auto"/>
        </w:rPr>
      </w:pPr>
    </w:p>
    <w:p>
      <w:pPr>
        <w:ind w:right="20" w:firstLine="968"/>
        <w:spacing w:after="0" w:line="258" w:lineRule="auto"/>
        <w:tabs>
          <w:tab w:leader="none" w:pos="1424"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if filed after the effective date of this Agreement will comply when filed,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each Representative's prior consent, prepare, use or refer to, any free writing prospectus.</w:t>
      </w:r>
    </w:p>
    <w:p>
      <w:pPr>
        <w:spacing w:after="0" w:line="127" w:lineRule="exact"/>
        <w:rPr>
          <w:rFonts w:ascii="Arial" w:cs="Arial" w:eastAsia="Arial" w:hAnsi="Arial"/>
          <w:sz w:val="21"/>
          <w:szCs w:val="21"/>
          <w:color w:val="auto"/>
        </w:rPr>
      </w:pPr>
    </w:p>
    <w:p>
      <w:pPr>
        <w:ind w:right="60" w:firstLine="968"/>
        <w:spacing w:after="0" w:line="259" w:lineRule="auto"/>
        <w:tabs>
          <w:tab w:leader="none" w:pos="1436"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(to the extent the concept of good standing is applicable in such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Company and its subsidiaries, taken as a whole.</w:t>
      </w:r>
    </w:p>
    <w:p>
      <w:pPr>
        <w:spacing w:after="0" w:line="129" w:lineRule="exact"/>
        <w:rPr>
          <w:rFonts w:ascii="Arial" w:cs="Arial" w:eastAsia="Arial" w:hAnsi="Arial"/>
          <w:sz w:val="21"/>
          <w:szCs w:val="21"/>
          <w:color w:val="auto"/>
        </w:rPr>
      </w:pPr>
    </w:p>
    <w:p>
      <w:pPr>
        <w:ind w:right="60" w:firstLine="968"/>
        <w:spacing w:after="0" w:line="258" w:lineRule="auto"/>
        <w:tabs>
          <w:tab w:leader="none" w:pos="1428" w:val="left"/>
        </w:tabs>
        <w:numPr>
          <w:ilvl w:val="0"/>
          <w:numId w:val="131"/>
        </w:numPr>
        <w:rPr>
          <w:rFonts w:ascii="Arial" w:cs="Arial" w:eastAsia="Arial" w:hAnsi="Arial"/>
          <w:sz w:val="21"/>
          <w:szCs w:val="21"/>
          <w:color w:val="auto"/>
        </w:rPr>
      </w:pPr>
      <w:r>
        <w:rPr>
          <w:rFonts w:ascii="Arial" w:cs="Arial" w:eastAsia="Arial" w:hAnsi="Arial"/>
          <w:sz w:val="21"/>
          <w:szCs w:val="21"/>
          <w:color w:val="auto"/>
        </w:rPr>
        <w:t>Each significant subsidiary (as such term is defined in Rule 1-02 of Regulation S-X under the Securities Exchange Act of 1934, as amended (the “</w:t>
      </w:r>
      <w:r>
        <w:rPr>
          <w:rFonts w:ascii="Arial" w:cs="Arial" w:eastAsia="Arial" w:hAnsi="Arial"/>
          <w:sz w:val="21"/>
          <w:szCs w:val="21"/>
          <w:b w:val="1"/>
          <w:bCs w:val="1"/>
          <w:color w:val="auto"/>
        </w:rPr>
        <w:t>Exchange Act</w:t>
      </w:r>
      <w:r>
        <w:rPr>
          <w:rFonts w:ascii="Arial" w:cs="Arial" w:eastAsia="Arial" w:hAnsi="Arial"/>
          <w:sz w:val="21"/>
          <w:szCs w:val="21"/>
          <w:color w:val="auto"/>
        </w:rPr>
        <w:t>”)) of the Company has been duly incorporated, organized or formed, is validly existing as a corporation or other business entity in good standing under the laws of the jurisdiction of its incorporation, organization or formation (to the extent the concept of good standing is applicable in such jurisdiction),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(to the extent the concept of good standing is applicable in such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Company and its subsidiaries, taken as a whole; all of the issued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40"/>
          </w:cols>
          <w:pgMar w:left="980" w:top="1428" w:right="379" w:bottom="1440" w:gutter="0" w:footer="0" w:header="0"/>
        </w:sectPr>
      </w:pPr>
    </w:p>
    <w:bookmarkStart w:id="209" w:name="page210"/>
    <w:bookmarkEnd w:id="209"/>
    <w:p>
      <w:pPr>
        <w:ind w:right="80"/>
        <w:spacing w:after="0" w:line="294" w:lineRule="auto"/>
        <w:rPr>
          <w:sz w:val="20"/>
          <w:szCs w:val="20"/>
          <w:color w:val="auto"/>
        </w:rPr>
      </w:pPr>
      <w:r>
        <w:rPr>
          <w:rFonts w:ascii="Arial" w:cs="Arial" w:eastAsia="Arial" w:hAnsi="Arial"/>
          <w:sz w:val="19"/>
          <w:szCs w:val="19"/>
          <w:color w:val="auto"/>
        </w:rPr>
        <w:t>capital stock or other equity interests of each significant subsidiary (as such term is defined in Rule 1-02 of Regulation S-X under the Exchange Act) of the Company have been duly and validly authorized and issued, are fully paid and non-assessable (to the extent that such concepts are applicable in such jurisdiction) and are owned directly or indirectly by the Company or a wholly-owned subsidiary of the Company, free and clear of all liens, encumbrances, equities or claims, except to the extent that such liens, encumbrances, equity or claims would not reasonably be expected to have a material adverse effect on the Company and its subsidiaries, taken as a whole.</w:t>
      </w:r>
    </w:p>
    <w:p>
      <w:pPr>
        <w:spacing w:after="0" w:line="95" w:lineRule="exact"/>
        <w:rPr>
          <w:sz w:val="20"/>
          <w:szCs w:val="20"/>
          <w:color w:val="auto"/>
        </w:rPr>
      </w:pPr>
    </w:p>
    <w:p>
      <w:pPr>
        <w:ind w:left="1400" w:hanging="432"/>
        <w:spacing w:after="0"/>
        <w:tabs>
          <w:tab w:leader="none" w:pos="140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the Company.</w:t>
      </w:r>
    </w:p>
    <w:p>
      <w:pPr>
        <w:spacing w:after="0" w:line="165" w:lineRule="exact"/>
        <w:rPr>
          <w:rFonts w:ascii="Arial" w:cs="Arial" w:eastAsia="Arial" w:hAnsi="Arial"/>
          <w:sz w:val="22"/>
          <w:szCs w:val="22"/>
          <w:color w:val="auto"/>
        </w:rPr>
      </w:pPr>
    </w:p>
    <w:p>
      <w:pPr>
        <w:ind w:right="560" w:firstLine="968"/>
        <w:spacing w:after="0" w:line="287" w:lineRule="auto"/>
        <w:tabs>
          <w:tab w:leader="none" w:pos="1436"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authorized capital stock of the Company conforms as to legal matters to the description thereof contained in each of the Registration Statement, the Time of Sale Prospectus and the Prospectus.</w:t>
      </w:r>
    </w:p>
    <w:p>
      <w:pPr>
        <w:spacing w:after="0" w:line="97" w:lineRule="exact"/>
        <w:rPr>
          <w:rFonts w:ascii="Arial" w:cs="Arial" w:eastAsia="Arial" w:hAnsi="Arial"/>
          <w:sz w:val="21"/>
          <w:szCs w:val="21"/>
          <w:color w:val="auto"/>
        </w:rPr>
      </w:pPr>
    </w:p>
    <w:p>
      <w:pPr>
        <w:ind w:right="200" w:firstLine="968"/>
        <w:spacing w:after="0" w:line="263" w:lineRule="auto"/>
        <w:tabs>
          <w:tab w:leader="none" w:pos="143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shares of Common Stock outstanding prior to the issuance of the Shares have been duly authorized and are validly issued, fully paid and non-assessable.</w:t>
      </w:r>
    </w:p>
    <w:p>
      <w:pPr>
        <w:spacing w:after="0" w:line="120" w:lineRule="exact"/>
        <w:rPr>
          <w:rFonts w:ascii="Arial" w:cs="Arial" w:eastAsia="Arial" w:hAnsi="Arial"/>
          <w:sz w:val="22"/>
          <w:szCs w:val="22"/>
          <w:color w:val="auto"/>
        </w:rPr>
      </w:pPr>
    </w:p>
    <w:p>
      <w:pPr>
        <w:ind w:right="220" w:firstLine="968"/>
        <w:spacing w:after="0" w:line="271" w:lineRule="auto"/>
        <w:tabs>
          <w:tab w:leader="none" w:pos="1388"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w:t>
      </w:r>
    </w:p>
    <w:p>
      <w:pPr>
        <w:spacing w:after="0" w:line="113" w:lineRule="exact"/>
        <w:rPr>
          <w:rFonts w:ascii="Arial" w:cs="Arial" w:eastAsia="Arial" w:hAnsi="Arial"/>
          <w:sz w:val="21"/>
          <w:szCs w:val="21"/>
          <w:color w:val="auto"/>
        </w:rPr>
      </w:pPr>
    </w:p>
    <w:p>
      <w:pPr>
        <w:ind w:firstLine="968"/>
        <w:spacing w:after="0" w:line="287" w:lineRule="auto"/>
        <w:tabs>
          <w:tab w:leader="none" w:pos="1388"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that in the case of clauses (i) and (iv) as would not, individually or in the aggregate, have a material adverse effect on the Company and its subsidiaries, taken as a whole, or on the power and ability of the Company to perform its obligations under this Agreement; and no consent, approval, authorization or order of, or qualification with, any governmental body or agency is required for the performance by the Company of its obligations under this Agreement, except such as has previously been obtained or waived and such as may be required by the securities or Blue Sky laws of the various states or foreign jurisdictions or the rules and regulations of the Financial Industry Regulatory Authority (“</w:t>
      </w:r>
      <w:r>
        <w:rPr>
          <w:rFonts w:ascii="Arial" w:cs="Arial" w:eastAsia="Arial" w:hAnsi="Arial"/>
          <w:sz w:val="19"/>
          <w:szCs w:val="19"/>
          <w:b w:val="1"/>
          <w:bCs w:val="1"/>
          <w:color w:val="auto"/>
        </w:rPr>
        <w:t>FINRA</w:t>
      </w:r>
      <w:r>
        <w:rPr>
          <w:rFonts w:ascii="Arial" w:cs="Arial" w:eastAsia="Arial" w:hAnsi="Arial"/>
          <w:sz w:val="19"/>
          <w:szCs w:val="19"/>
          <w:color w:val="auto"/>
        </w:rPr>
        <w:t>”) in connection with the offer and sale of the Shares.</w:t>
      </w:r>
    </w:p>
    <w:p>
      <w:pPr>
        <w:spacing w:after="0" w:line="365" w:lineRule="exact"/>
        <w:rPr>
          <w:rFonts w:ascii="Arial" w:cs="Arial" w:eastAsia="Arial" w:hAnsi="Arial"/>
          <w:sz w:val="19"/>
          <w:szCs w:val="19"/>
          <w:color w:val="auto"/>
        </w:rPr>
      </w:pPr>
    </w:p>
    <w:p>
      <w:pPr>
        <w:ind w:right="760" w:firstLine="968"/>
        <w:spacing w:after="0" w:line="312" w:lineRule="auto"/>
        <w:tabs>
          <w:tab w:leader="none" w:pos="143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28" w:right="339" w:bottom="1440" w:gutter="0" w:footer="0" w:header="0"/>
        </w:sectPr>
      </w:pPr>
    </w:p>
    <w:bookmarkStart w:id="210" w:name="page211"/>
    <w:bookmarkEnd w:id="210"/>
    <w:p>
      <w:pPr>
        <w:ind w:left="-460" w:firstLine="968"/>
        <w:spacing w:after="0" w:line="287" w:lineRule="auto"/>
        <w:tabs>
          <w:tab w:leader="none" w:pos="92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reasonably be expected to, singly or in the aggregate, have a material adverse effect on the Company and its subsidiaries, taken as a whole, or reasonably be expected to have a material adverse effect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to which the Company or its subsidiaries is subject or bound that are required to be described in the Registration Statement, the Time of Sale Prospectus or the Prospectus or to be filed as exhibits to the Registration Statement that are not described in all material respects or filed as required.</w:t>
      </w:r>
    </w:p>
    <w:p>
      <w:pPr>
        <w:spacing w:after="0" w:line="104" w:lineRule="exact"/>
        <w:rPr>
          <w:rFonts w:ascii="Arial" w:cs="Arial" w:eastAsia="Arial" w:hAnsi="Arial"/>
          <w:sz w:val="19"/>
          <w:szCs w:val="19"/>
          <w:color w:val="auto"/>
        </w:rPr>
      </w:pPr>
    </w:p>
    <w:p>
      <w:pPr>
        <w:ind w:left="-460" w:right="280" w:firstLine="968"/>
        <w:spacing w:after="0" w:line="312" w:lineRule="auto"/>
        <w:tabs>
          <w:tab w:leader="none" w:pos="10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9" w:lineRule="exact"/>
        <w:rPr>
          <w:rFonts w:ascii="Arial" w:cs="Arial" w:eastAsia="Arial" w:hAnsi="Arial"/>
          <w:sz w:val="19"/>
          <w:szCs w:val="19"/>
          <w:color w:val="auto"/>
        </w:rPr>
      </w:pPr>
    </w:p>
    <w:p>
      <w:pPr>
        <w:ind w:left="-460" w:right="20" w:firstLine="968"/>
        <w:spacing w:after="0" w:line="250" w:lineRule="auto"/>
        <w:tabs>
          <w:tab w:leader="none" w:pos="97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Company is not, and immediately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133" w:lineRule="exact"/>
        <w:rPr>
          <w:rFonts w:ascii="Arial" w:cs="Arial" w:eastAsia="Arial" w:hAnsi="Arial"/>
          <w:sz w:val="22"/>
          <w:szCs w:val="22"/>
          <w:color w:val="auto"/>
        </w:rPr>
      </w:pPr>
    </w:p>
    <w:p>
      <w:pPr>
        <w:ind w:left="-460" w:right="60" w:firstLine="968"/>
        <w:spacing w:after="0" w:line="259" w:lineRule="auto"/>
        <w:tabs>
          <w:tab w:leader="none" w:pos="976"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To the Company’s knowledge, the Company and its subsidiaries, taken as a whole,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21"/>
          <w:szCs w:val="21"/>
          <w:b w:val="1"/>
          <w:bCs w:val="1"/>
          <w:color w:val="auto"/>
        </w:rPr>
        <w:t>Environmental</w:t>
      </w:r>
      <w:r>
        <w:rPr>
          <w:rFonts w:ascii="Arial" w:cs="Arial" w:eastAsia="Arial" w:hAnsi="Arial"/>
          <w:sz w:val="21"/>
          <w:szCs w:val="21"/>
          <w:color w:val="auto"/>
        </w:rPr>
        <w:t xml:space="preserve"> </w:t>
      </w:r>
      <w:r>
        <w:rPr>
          <w:rFonts w:ascii="Arial" w:cs="Arial" w:eastAsia="Arial" w:hAnsi="Arial"/>
          <w:sz w:val="21"/>
          <w:szCs w:val="21"/>
          <w:b w:val="1"/>
          <w:bCs w:val="1"/>
          <w:color w:val="auto"/>
        </w:rPr>
        <w:t>Laws</w:t>
      </w:r>
      <w:r>
        <w:rPr>
          <w:rFonts w:ascii="Arial" w:cs="Arial" w:eastAsia="Arial" w:hAnsi="Arial"/>
          <w:sz w:val="21"/>
          <w:szCs w:val="21"/>
          <w:color w:val="auto"/>
        </w:rPr>
        <w:t>”), (ii) have received all permits, licenses or other approvals required of them under applicable Environmental Laws</w:t>
      </w:r>
      <w:r>
        <w:rPr>
          <w:rFonts w:ascii="Arial" w:cs="Arial" w:eastAsia="Arial" w:hAnsi="Arial"/>
          <w:sz w:val="21"/>
          <w:szCs w:val="21"/>
          <w:b w:val="1"/>
          <w:bCs w:val="1"/>
          <w:color w:val="auto"/>
        </w:rPr>
        <w:t xml:space="preserve"> </w:t>
      </w:r>
      <w:r>
        <w:rPr>
          <w:rFonts w:ascii="Arial" w:cs="Arial" w:eastAsia="Arial" w:hAnsi="Arial"/>
          <w:sz w:val="21"/>
          <w:szCs w:val="21"/>
          <w:color w:val="auto"/>
        </w:rPr>
        <w:t>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125" w:lineRule="exact"/>
        <w:rPr>
          <w:rFonts w:ascii="Arial" w:cs="Arial" w:eastAsia="Arial" w:hAnsi="Arial"/>
          <w:sz w:val="21"/>
          <w:szCs w:val="21"/>
          <w:color w:val="auto"/>
        </w:rPr>
      </w:pPr>
    </w:p>
    <w:p>
      <w:pPr>
        <w:jc w:val="both"/>
        <w:ind w:left="-460" w:right="180" w:firstLine="968"/>
        <w:spacing w:after="0" w:line="312" w:lineRule="auto"/>
        <w:tabs>
          <w:tab w:leader="none" w:pos="97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20"/>
          </w:cols>
          <w:pgMar w:left="1440" w:top="1428" w:right="339" w:bottom="1440" w:gutter="0" w:footer="0" w:header="0"/>
        </w:sectPr>
      </w:pPr>
    </w:p>
    <w:bookmarkStart w:id="211" w:name="page212"/>
    <w:bookmarkEnd w:id="211"/>
    <w:p>
      <w:pPr>
        <w:ind w:right="440"/>
        <w:spacing w:after="0" w:line="263" w:lineRule="auto"/>
        <w:rPr>
          <w:sz w:val="20"/>
          <w:szCs w:val="20"/>
          <w:color w:val="auto"/>
        </w:rPr>
      </w:pPr>
      <w:r>
        <w:rPr>
          <w:rFonts w:ascii="Arial" w:cs="Arial" w:eastAsia="Arial" w:hAnsi="Arial"/>
          <w:sz w:val="22"/>
          <w:szCs w:val="22"/>
          <w:color w:val="auto"/>
        </w:rPr>
        <w:t>third parties) which would, singly or in the aggregate, reasonably be expected to have a material adverse effect on the Company and its subsidiaries, taken as a whole.</w:t>
      </w:r>
    </w:p>
    <w:p>
      <w:pPr>
        <w:spacing w:after="0" w:line="121" w:lineRule="exact"/>
        <w:rPr>
          <w:sz w:val="20"/>
          <w:szCs w:val="20"/>
          <w:color w:val="auto"/>
        </w:rPr>
      </w:pPr>
    </w:p>
    <w:p>
      <w:pPr>
        <w:ind w:right="80" w:firstLine="968"/>
        <w:spacing w:after="0" w:line="297" w:lineRule="auto"/>
        <w:tabs>
          <w:tab w:leader="none" w:pos="144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Except as described in the Time of Sale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any such rights that otherwise have been validly waived or complied with in connection with the issuance and sale of the Shares contemplated hereby.</w:t>
      </w:r>
    </w:p>
    <w:p>
      <w:pPr>
        <w:spacing w:after="0" w:line="92" w:lineRule="exact"/>
        <w:rPr>
          <w:rFonts w:ascii="Arial" w:cs="Arial" w:eastAsia="Arial" w:hAnsi="Arial"/>
          <w:sz w:val="19"/>
          <w:szCs w:val="19"/>
          <w:color w:val="auto"/>
        </w:rPr>
      </w:pPr>
    </w:p>
    <w:p>
      <w:pPr>
        <w:ind w:firstLine="968"/>
        <w:spacing w:after="0" w:line="286" w:lineRule="auto"/>
        <w:tabs>
          <w:tab w:leader="none" w:pos="140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9"/>
          <w:szCs w:val="19"/>
          <w:b w:val="1"/>
          <w:bCs w:val="1"/>
          <w:color w:val="auto"/>
        </w:rPr>
        <w:t>Government Official</w:t>
      </w:r>
      <w:r>
        <w:rPr>
          <w:rFonts w:ascii="Arial" w:cs="Arial" w:eastAsia="Arial" w:hAnsi="Arial"/>
          <w:sz w:val="19"/>
          <w:szCs w:val="19"/>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368" w:lineRule="exact"/>
        <w:rPr>
          <w:rFonts w:ascii="Arial" w:cs="Arial" w:eastAsia="Arial" w:hAnsi="Arial"/>
          <w:sz w:val="19"/>
          <w:szCs w:val="19"/>
          <w:color w:val="auto"/>
        </w:rPr>
      </w:pPr>
    </w:p>
    <w:p>
      <w:pPr>
        <w:ind w:right="20" w:firstLine="968"/>
        <w:spacing w:after="0" w:line="289" w:lineRule="auto"/>
        <w:tabs>
          <w:tab w:leader="none" w:pos="1412"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9"/>
          <w:szCs w:val="19"/>
          <w:b w:val="1"/>
          <w:bCs w:val="1"/>
          <w:color w:val="auto"/>
        </w:rPr>
        <w:t>Anti-Money Laundering Laws</w:t>
      </w:r>
      <w:r>
        <w:rPr>
          <w:rFonts w:ascii="Arial" w:cs="Arial" w:eastAsia="Arial" w:hAnsi="Arial"/>
          <w:sz w:val="19"/>
          <w:szCs w:val="19"/>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0"/>
          </w:cols>
          <w:pgMar w:left="980" w:top="1428" w:right="339" w:bottom="1440" w:gutter="0" w:footer="0" w:header="0"/>
        </w:sectPr>
      </w:pPr>
    </w:p>
    <w:bookmarkStart w:id="212" w:name="page213"/>
    <w:bookmarkEnd w:id="212"/>
    <w:p>
      <w:pPr>
        <w:ind w:left="-460" w:right="100" w:firstLine="968"/>
        <w:spacing w:after="0" w:line="271" w:lineRule="auto"/>
        <w:tabs>
          <w:tab w:leader="none" w:pos="932" w:val="left"/>
        </w:tabs>
        <w:numPr>
          <w:ilvl w:val="0"/>
          <w:numId w:val="135"/>
        </w:numPr>
        <w:rPr>
          <w:rFonts w:ascii="Arial" w:cs="Arial" w:eastAsia="Arial" w:hAnsi="Arial"/>
          <w:sz w:val="21"/>
          <w:szCs w:val="21"/>
          <w:color w:val="auto"/>
        </w:rPr>
      </w:pPr>
      <w:r>
        <w:rPr>
          <w:rFonts w:ascii="Arial" w:cs="Arial" w:eastAsia="Arial" w:hAnsi="Arial"/>
          <w:sz w:val="21"/>
          <w:szCs w:val="21"/>
          <w:color w:val="auto"/>
        </w:rPr>
        <w:t>(i) None of the Company, any of its subsidiaries, or any director, officer, or employee thereof, or, to the Company’s knowledge, any agent, affiliate or representative of the Company or any of its subsidiaries, is an individual or entity (“</w:t>
      </w:r>
      <w:r>
        <w:rPr>
          <w:rFonts w:ascii="Arial" w:cs="Arial" w:eastAsia="Arial" w:hAnsi="Arial"/>
          <w:sz w:val="21"/>
          <w:szCs w:val="21"/>
          <w:b w:val="1"/>
          <w:bCs w:val="1"/>
          <w:color w:val="auto"/>
        </w:rPr>
        <w:t>Person</w:t>
      </w:r>
      <w:r>
        <w:rPr>
          <w:rFonts w:ascii="Arial" w:cs="Arial" w:eastAsia="Arial" w:hAnsi="Arial"/>
          <w:sz w:val="21"/>
          <w:szCs w:val="21"/>
          <w:color w:val="auto"/>
        </w:rPr>
        <w:t>”) that is, or is owned or controlled by one or more Persons that are:</w:t>
      </w:r>
    </w:p>
    <w:p>
      <w:pPr>
        <w:spacing w:after="0" w:line="113" w:lineRule="exact"/>
        <w:rPr>
          <w:rFonts w:ascii="Arial" w:cs="Arial" w:eastAsia="Arial" w:hAnsi="Arial"/>
          <w:sz w:val="21"/>
          <w:szCs w:val="21"/>
          <w:color w:val="auto"/>
        </w:rPr>
      </w:pPr>
    </w:p>
    <w:p>
      <w:pPr>
        <w:jc w:val="both"/>
        <w:ind w:left="1000" w:right="180" w:firstLine="1128"/>
        <w:spacing w:after="0" w:line="312" w:lineRule="auto"/>
        <w:tabs>
          <w:tab w:leader="none" w:pos="2650" w:val="left"/>
        </w:tabs>
        <w:numPr>
          <w:ilvl w:val="2"/>
          <w:numId w:val="135"/>
        </w:numPr>
        <w:rPr>
          <w:rFonts w:ascii="Arial" w:cs="Arial" w:eastAsia="Arial" w:hAnsi="Arial"/>
          <w:sz w:val="19"/>
          <w:szCs w:val="19"/>
          <w:color w:val="auto"/>
        </w:rPr>
      </w:pPr>
      <w:r>
        <w:rPr>
          <w:rFonts w:ascii="Arial" w:cs="Arial" w:eastAsia="Arial" w:hAnsi="Arial"/>
          <w:sz w:val="19"/>
          <w:szCs w:val="19"/>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19"/>
          <w:szCs w:val="19"/>
          <w:b w:val="1"/>
          <w:bCs w:val="1"/>
          <w:color w:val="auto"/>
        </w:rPr>
        <w:t>Sanctions</w:t>
      </w:r>
      <w:r>
        <w:rPr>
          <w:rFonts w:ascii="Arial" w:cs="Arial" w:eastAsia="Arial" w:hAnsi="Arial"/>
          <w:sz w:val="19"/>
          <w:szCs w:val="19"/>
          <w:color w:val="auto"/>
        </w:rPr>
        <w:t>”), or</w:t>
      </w:r>
    </w:p>
    <w:p>
      <w:pPr>
        <w:spacing w:after="0" w:line="79" w:lineRule="exact"/>
        <w:rPr>
          <w:rFonts w:ascii="Arial" w:cs="Arial" w:eastAsia="Arial" w:hAnsi="Arial"/>
          <w:sz w:val="19"/>
          <w:szCs w:val="19"/>
          <w:color w:val="auto"/>
        </w:rPr>
      </w:pPr>
    </w:p>
    <w:p>
      <w:pPr>
        <w:ind w:left="1000" w:right="160" w:firstLine="1128"/>
        <w:spacing w:after="0" w:line="263" w:lineRule="auto"/>
        <w:tabs>
          <w:tab w:leader="none" w:pos="2638" w:val="left"/>
        </w:tabs>
        <w:numPr>
          <w:ilvl w:val="2"/>
          <w:numId w:val="135"/>
        </w:numPr>
        <w:rPr>
          <w:rFonts w:ascii="Arial" w:cs="Arial" w:eastAsia="Arial" w:hAnsi="Arial"/>
          <w:sz w:val="22"/>
          <w:szCs w:val="22"/>
          <w:color w:val="auto"/>
        </w:rPr>
      </w:pPr>
      <w:r>
        <w:rPr>
          <w:rFonts w:ascii="Arial" w:cs="Arial" w:eastAsia="Arial" w:hAnsi="Arial"/>
          <w:sz w:val="22"/>
          <w:szCs w:val="22"/>
          <w:color w:val="auto"/>
        </w:rPr>
        <w:t>located, organized or resident in a country or territory that is the subject of Sanctions (including, without limitation, Crimea, Cuba, Iran, North Korea and Syria).</w:t>
      </w:r>
    </w:p>
    <w:p>
      <w:pPr>
        <w:spacing w:after="0" w:line="120" w:lineRule="exact"/>
        <w:rPr>
          <w:rFonts w:ascii="Arial" w:cs="Arial" w:eastAsia="Arial" w:hAnsi="Arial"/>
          <w:sz w:val="22"/>
          <w:szCs w:val="22"/>
          <w:color w:val="auto"/>
        </w:rPr>
      </w:pPr>
    </w:p>
    <w:p>
      <w:pPr>
        <w:ind w:left="180" w:right="480" w:firstLine="1138"/>
        <w:spacing w:after="0" w:line="343" w:lineRule="auto"/>
        <w:tabs>
          <w:tab w:leader="none" w:pos="179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The Company will not, directly or indirectly, use the proceeds of the offering, or lend, contribute or otherwise make available such proceeds to any subsidiary, joint venture partner or other Person:</w:t>
      </w:r>
    </w:p>
    <w:p>
      <w:pPr>
        <w:spacing w:after="0" w:line="50" w:lineRule="exact"/>
        <w:rPr>
          <w:rFonts w:ascii="Arial" w:cs="Arial" w:eastAsia="Arial" w:hAnsi="Arial"/>
          <w:sz w:val="19"/>
          <w:szCs w:val="19"/>
          <w:color w:val="auto"/>
        </w:rPr>
      </w:pPr>
    </w:p>
    <w:p>
      <w:pPr>
        <w:ind w:left="1000" w:right="140" w:firstLine="1128"/>
        <w:spacing w:after="0" w:line="287" w:lineRule="auto"/>
        <w:tabs>
          <w:tab w:leader="none" w:pos="2650" w:val="left"/>
        </w:tabs>
        <w:numPr>
          <w:ilvl w:val="2"/>
          <w:numId w:val="135"/>
        </w:numPr>
        <w:rPr>
          <w:rFonts w:ascii="Arial" w:cs="Arial" w:eastAsia="Arial" w:hAnsi="Arial"/>
          <w:sz w:val="21"/>
          <w:szCs w:val="21"/>
          <w:color w:val="auto"/>
        </w:rPr>
      </w:pPr>
      <w:r>
        <w:rPr>
          <w:rFonts w:ascii="Arial" w:cs="Arial" w:eastAsia="Arial" w:hAnsi="Arial"/>
          <w:sz w:val="21"/>
          <w:szCs w:val="21"/>
          <w:color w:val="auto"/>
        </w:rPr>
        <w:t>to fund or facilitate any activities or business of or with any Person or in any country or territory that, at the time of such funding or facilitation, is the subject of Sanctions; or</w:t>
      </w:r>
    </w:p>
    <w:p>
      <w:pPr>
        <w:spacing w:after="0" w:line="97" w:lineRule="exact"/>
        <w:rPr>
          <w:rFonts w:ascii="Arial" w:cs="Arial" w:eastAsia="Arial" w:hAnsi="Arial"/>
          <w:sz w:val="21"/>
          <w:szCs w:val="21"/>
          <w:color w:val="auto"/>
        </w:rPr>
      </w:pPr>
    </w:p>
    <w:p>
      <w:pPr>
        <w:ind w:left="1000" w:right="860" w:firstLine="1128"/>
        <w:spacing w:after="0" w:line="253" w:lineRule="auto"/>
        <w:tabs>
          <w:tab w:leader="none" w:pos="2638" w:val="left"/>
        </w:tabs>
        <w:numPr>
          <w:ilvl w:val="2"/>
          <w:numId w:val="135"/>
        </w:numPr>
        <w:rPr>
          <w:rFonts w:ascii="Arial" w:cs="Arial" w:eastAsia="Arial" w:hAnsi="Arial"/>
          <w:sz w:val="22"/>
          <w:szCs w:val="22"/>
          <w:color w:val="auto"/>
        </w:rPr>
      </w:pPr>
      <w:r>
        <w:rPr>
          <w:rFonts w:ascii="Arial" w:cs="Arial" w:eastAsia="Arial" w:hAnsi="Arial"/>
          <w:sz w:val="22"/>
          <w:szCs w:val="22"/>
          <w:color w:val="auto"/>
        </w:rPr>
        <w:t>in any other manner that will result in a violation of Sanctions by any Person (including any Person participating in the offering, whether as underwriter, advisor, investor or otherwise).</w:t>
      </w:r>
    </w:p>
    <w:p>
      <w:pPr>
        <w:spacing w:after="0" w:line="131" w:lineRule="exact"/>
        <w:rPr>
          <w:rFonts w:ascii="Arial" w:cs="Arial" w:eastAsia="Arial" w:hAnsi="Arial"/>
          <w:sz w:val="22"/>
          <w:szCs w:val="22"/>
          <w:color w:val="auto"/>
        </w:rPr>
      </w:pPr>
    </w:p>
    <w:p>
      <w:pPr>
        <w:ind w:left="180" w:right="200" w:firstLine="1138"/>
        <w:spacing w:after="0" w:line="271" w:lineRule="auto"/>
        <w:tabs>
          <w:tab w:leader="none" w:pos="1850" w:val="left"/>
        </w:tabs>
        <w:numPr>
          <w:ilvl w:val="1"/>
          <w:numId w:val="135"/>
        </w:numPr>
        <w:rPr>
          <w:rFonts w:ascii="Arial" w:cs="Arial" w:eastAsia="Arial" w:hAnsi="Arial"/>
          <w:sz w:val="21"/>
          <w:szCs w:val="21"/>
          <w:color w:val="auto"/>
        </w:rPr>
      </w:pPr>
      <w:r>
        <w:rPr>
          <w:rFonts w:ascii="Arial" w:cs="Arial" w:eastAsia="Arial" w:hAnsi="Arial"/>
          <w:sz w:val="21"/>
          <w:szCs w:val="21"/>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13" w:lineRule="exact"/>
        <w:rPr>
          <w:rFonts w:ascii="Arial" w:cs="Arial" w:eastAsia="Arial" w:hAnsi="Arial"/>
          <w:sz w:val="21"/>
          <w:szCs w:val="21"/>
          <w:color w:val="auto"/>
        </w:rPr>
      </w:pPr>
    </w:p>
    <w:p>
      <w:pPr>
        <w:ind w:left="-460" w:firstLine="968"/>
        <w:spacing w:after="0" w:line="287" w:lineRule="auto"/>
        <w:tabs>
          <w:tab w:leader="none" w:pos="98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other than from employees or other service providers in connection with such person’s termination of service from the Company or its subsidiaries pursuant to equity compensation plans or agreements described in the Time of Sale Prospectus or in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settlement or forfeiture of equity awards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20"/>
          </w:cols>
          <w:pgMar w:left="1440" w:top="1428" w:right="339" w:bottom="1440" w:gutter="0" w:footer="0" w:header="0"/>
        </w:sectPr>
      </w:pPr>
    </w:p>
    <w:bookmarkStart w:id="213" w:name="page214"/>
    <w:bookmarkEnd w:id="213"/>
    <w:p>
      <w:pPr>
        <w:spacing w:after="0" w:line="253" w:lineRule="auto"/>
        <w:rPr>
          <w:sz w:val="20"/>
          <w:szCs w:val="20"/>
          <w:color w:val="auto"/>
        </w:rPr>
      </w:pPr>
      <w:r>
        <w:rPr>
          <w:rFonts w:ascii="Arial" w:cs="Arial" w:eastAsia="Arial" w:hAnsi="Arial"/>
          <w:sz w:val="22"/>
          <w:szCs w:val="22"/>
          <w:color w:val="auto"/>
        </w:rPr>
        <w:t>described in the Time of Sale Prospectus), short-term debt or long-term debt of the Company and its subsidiaries, taken as a whole, except in each case as described in each of the Registration Statement, the Time of Sale Prospectus and the Prospectus, respectively.</w:t>
      </w:r>
    </w:p>
    <w:p>
      <w:pPr>
        <w:spacing w:after="0" w:line="131" w:lineRule="exact"/>
        <w:rPr>
          <w:sz w:val="20"/>
          <w:szCs w:val="20"/>
          <w:color w:val="auto"/>
        </w:rPr>
      </w:pPr>
    </w:p>
    <w:p>
      <w:pPr>
        <w:ind w:right="100" w:firstLine="968"/>
        <w:spacing w:after="0" w:line="288" w:lineRule="auto"/>
        <w:tabs>
          <w:tab w:leader="none" w:pos="143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Company and its subsidiaries do not own any real property. The Company and each of its subsidiaries have good and marketable title to all personal property (other than intellectual property, which is addressed exclusively in Section 1(w)) owned by them which is material to the business of the Company and its subsidiaries, taken as a whole, in each case free and clear of all material liens, encumbrances and defects except such as are described in the Time of Sale Prospectus or such as do not materially diminish the value of such property and do not materially interfere with the use made and proposed to be made of such property by the Company and its subsidiaries, taken as a whole; and any real property and buildings held under lease by the Company and its subsidiaries are held by them under valid, subsisting and, to the Company’s knowledge, enforceable leases with such exceptions as are not material and do not materially interfere with the use made and proposed to be made of such property and buildings by the Company and its subsidiaries, taken as a whole, in each case except as described in the Time of Sale Prospectus.</w:t>
      </w:r>
    </w:p>
    <w:p>
      <w:pPr>
        <w:spacing w:after="0" w:line="105" w:lineRule="exact"/>
        <w:rPr>
          <w:rFonts w:ascii="Arial" w:cs="Arial" w:eastAsia="Arial" w:hAnsi="Arial"/>
          <w:sz w:val="19"/>
          <w:szCs w:val="19"/>
          <w:color w:val="auto"/>
        </w:rPr>
      </w:pPr>
    </w:p>
    <w:p>
      <w:pPr>
        <w:ind w:firstLine="968"/>
        <w:spacing w:after="0" w:line="285" w:lineRule="auto"/>
        <w:tabs>
          <w:tab w:leader="none" w:pos="148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 To the knowledge of the Company (without having conducted an inquiry or investigation with respect to patent infringement), the business of the Company and its subsidiaries as currently conducted does not infringe or misappropriate the intellectual property and proprietary rights (collectively, “</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of a third Person; (ii) all maintenance fees, filings and other actions necessary to perfect and maintain the Company’s rights in material items of registered Intellectual Property Rights owned by the Company and its subsidiaries have been made or taken and, to the knowledge of the Company, all such rights are valid, subsisting and enforceable; (iii) there is no pending or threatened action, suit, proceeding or claim by others challenging the validity, scope or enforceability of any such material registered Intellectual Property Rights; (iv) neither the Company nor any of its subsidiaries has received any written notice alleging any infringement, misappropriation or other violation of Intellectual Property Rights of a third Person which, singly or in the aggregate, if the subject of an unfavorable decision, ruling or finding, would have a material adverse effect on the Company or any of its subsidiaries; (v) to the Company’s knowledge (without having conducted inquiry or investigation), no third party is infringing, misappropriating or otherwise violating, or has infringed, misappropriated or otherwise violated, any Intellectual Property Rights owned by the Company in any respect that is material to the Company and its subsidiaries taken as a whole; (vi) all employees or contractors engaged in the development of material Intellectual Property Rights for or on behalf of the Company or any subsidiary of the Company have executed agreements whereby such employees or contractors assigned all rights to such Intellectual Property Rights to the Company or the applicable subsidiary; and (vii) the Company and its subsidiaries use, and have used, commercially reasonable efforts to appropriately maintain all information intended to be maintained as a trade secret.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40"/>
          </w:cols>
          <w:pgMar w:left="980" w:top="1428" w:right="379" w:bottom="1440" w:gutter="0" w:footer="0" w:header="0"/>
        </w:sectPr>
      </w:pPr>
    </w:p>
    <w:bookmarkStart w:id="214" w:name="page215"/>
    <w:bookmarkEnd w:id="214"/>
    <w:p>
      <w:pPr>
        <w:ind w:left="-460" w:right="120" w:firstLine="968"/>
        <w:spacing w:after="0" w:line="289" w:lineRule="auto"/>
        <w:tabs>
          <w:tab w:leader="none" w:pos="103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Arial" w:cs="Arial" w:eastAsia="Arial" w:hAnsi="Arial"/>
          <w:sz w:val="19"/>
          <w:szCs w:val="19"/>
          <w:b w:val="1"/>
          <w:bCs w:val="1"/>
          <w:color w:val="auto"/>
        </w:rPr>
        <w:t>Open Source Software</w:t>
      </w:r>
      <w:r>
        <w:rPr>
          <w:rFonts w:ascii="Arial" w:cs="Arial" w:eastAsia="Arial" w:hAnsi="Arial"/>
          <w:sz w:val="19"/>
          <w:szCs w:val="19"/>
          <w:color w:val="auto"/>
        </w:rPr>
        <w:t>”) in material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102" w:lineRule="exact"/>
        <w:rPr>
          <w:rFonts w:ascii="Arial" w:cs="Arial" w:eastAsia="Arial" w:hAnsi="Arial"/>
          <w:sz w:val="19"/>
          <w:szCs w:val="19"/>
          <w:color w:val="auto"/>
        </w:rPr>
      </w:pPr>
    </w:p>
    <w:p>
      <w:pPr>
        <w:ind w:left="-460" w:right="20" w:firstLine="968"/>
        <w:spacing w:after="0" w:line="245" w:lineRule="auto"/>
        <w:tabs>
          <w:tab w:leader="none" w:pos="9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Except as would not, individually or in the aggregate, have a material adverse effect on the Company and its subsidiaries taken as a whole, (i) the Company and each of its subsidiaries are presently in compliance with the current versions of its posted privacy policies and applicable laws relating to the collection, use, transfer, import, export, storage, protection, disposal and disclosure by the Company or any of its subsidiaries of personal, personally identifiable, household, sensitive, confidential or regulated data (“</w:t>
      </w:r>
      <w:r>
        <w:rPr>
          <w:rFonts w:ascii="Arial" w:cs="Arial" w:eastAsia="Arial" w:hAnsi="Arial"/>
          <w:sz w:val="22"/>
          <w:szCs w:val="22"/>
          <w:b w:val="1"/>
          <w:bCs w:val="1"/>
          <w:color w:val="auto"/>
        </w:rPr>
        <w:t>Data Security Obligations</w:t>
      </w:r>
      <w:r>
        <w:rPr>
          <w:rFonts w:ascii="Arial" w:cs="Arial" w:eastAsia="Arial" w:hAnsi="Arial"/>
          <w:sz w:val="22"/>
          <w:szCs w:val="22"/>
          <w:color w:val="auto"/>
        </w:rPr>
        <w:t>”, and such data, “</w:t>
      </w:r>
      <w:r>
        <w:rPr>
          <w:rFonts w:ascii="Arial" w:cs="Arial" w:eastAsia="Arial" w:hAnsi="Arial"/>
          <w:sz w:val="22"/>
          <w:szCs w:val="22"/>
          <w:b w:val="1"/>
          <w:bCs w:val="1"/>
          <w:color w:val="auto"/>
        </w:rPr>
        <w:t>Data</w:t>
      </w:r>
      <w:r>
        <w:rPr>
          <w:rFonts w:ascii="Arial" w:cs="Arial" w:eastAsia="Arial" w:hAnsi="Arial"/>
          <w:sz w:val="22"/>
          <w:szCs w:val="22"/>
          <w:color w:val="auto"/>
        </w:rPr>
        <w:t>”); (ii) the Company has not received any written notification of or complaint regarding non-compliance with any Data Security Obligation; and (iii) there is no action, suit or proceeding by or before any court or governmental agency, authority or body pending or, to the knowledge of the Company, threatened alleging non-compliance with any Data Security Obligation.</w:t>
      </w:r>
    </w:p>
    <w:p>
      <w:pPr>
        <w:spacing w:after="0" w:line="146" w:lineRule="exact"/>
        <w:rPr>
          <w:rFonts w:ascii="Arial" w:cs="Arial" w:eastAsia="Arial" w:hAnsi="Arial"/>
          <w:sz w:val="22"/>
          <w:szCs w:val="22"/>
          <w:color w:val="auto"/>
        </w:rPr>
      </w:pPr>
    </w:p>
    <w:p>
      <w:pPr>
        <w:ind w:left="-460" w:firstLine="968"/>
        <w:spacing w:after="0" w:line="260" w:lineRule="auto"/>
        <w:tabs>
          <w:tab w:leader="none" w:pos="968" w:val="left"/>
        </w:tabs>
        <w:numPr>
          <w:ilvl w:val="0"/>
          <w:numId w:val="137"/>
        </w:numPr>
        <w:rPr>
          <w:rFonts w:ascii="Arial" w:cs="Arial" w:eastAsia="Arial" w:hAnsi="Arial"/>
          <w:sz w:val="21"/>
          <w:szCs w:val="21"/>
          <w:color w:val="auto"/>
        </w:rPr>
      </w:pPr>
      <w:r>
        <w:rPr>
          <w:rFonts w:ascii="Arial" w:cs="Arial" w:eastAsia="Arial" w:hAnsi="Arial"/>
          <w:sz w:val="21"/>
          <w:szCs w:val="21"/>
          <w:color w:val="auto"/>
        </w:rPr>
        <w:t>Except as would not, individually or in the aggregate, have a material adverse effect on the Company and its subsidiaries taken as a whole, the Company and each of its subsidiaries have taken reasonable technical and organizational measures designed to protect the information technology systems and Data in the possession and custody of the Company used in connection with the operation of the Company’s and its subsidiaries’ businesses. Except as would not, individually or in the aggregate, have a material adverse effect on the Company and its subsidiaries taken as a whole, to the knowledge of the Company, there has been no security breach relating to the unauthorized access and dissemination of any private or sensitive Data.</w:t>
      </w:r>
    </w:p>
    <w:p>
      <w:pPr>
        <w:spacing w:after="0" w:line="126" w:lineRule="exact"/>
        <w:rPr>
          <w:sz w:val="20"/>
          <w:szCs w:val="20"/>
          <w:color w:val="auto"/>
        </w:rPr>
      </w:pPr>
    </w:p>
    <w:p>
      <w:pPr>
        <w:ind w:left="-460" w:right="80" w:firstLine="968"/>
        <w:spacing w:after="0" w:line="302" w:lineRule="auto"/>
        <w:tabs>
          <w:tab w:leader="none" w:pos="1064" w:val="left"/>
        </w:tabs>
        <w:numPr>
          <w:ilvl w:val="0"/>
          <w:numId w:val="138"/>
        </w:numPr>
        <w:rPr>
          <w:rFonts w:ascii="Arial" w:cs="Arial" w:eastAsia="Arial" w:hAnsi="Arial"/>
          <w:sz w:val="19"/>
          <w:szCs w:val="19"/>
          <w:color w:val="auto"/>
        </w:rPr>
      </w:pPr>
      <w:r>
        <w:rPr>
          <w:rFonts w:ascii="Arial" w:cs="Arial" w:eastAsia="Arial" w:hAnsi="Arial"/>
          <w:sz w:val="19"/>
          <w:szCs w:val="19"/>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88" w:lineRule="exact"/>
        <w:rPr>
          <w:rFonts w:ascii="Arial" w:cs="Arial" w:eastAsia="Arial" w:hAnsi="Arial"/>
          <w:sz w:val="19"/>
          <w:szCs w:val="19"/>
          <w:color w:val="auto"/>
        </w:rPr>
      </w:pPr>
    </w:p>
    <w:p>
      <w:pPr>
        <w:ind w:left="-460" w:right="120" w:firstLine="968"/>
        <w:spacing w:after="0" w:line="253" w:lineRule="auto"/>
        <w:tabs>
          <w:tab w:leader="none" w:pos="108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Company and each of its subsidiaries are insured by insurers of recognized financial responsibility against such losses and risks and in such amounts as are, in the reasonable judgment of the Company, prudent and customary in the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00"/>
          </w:cols>
          <w:pgMar w:left="1440" w:top="1428" w:right="359" w:bottom="1440" w:gutter="0" w:footer="0" w:header="0"/>
        </w:sectPr>
      </w:pPr>
    </w:p>
    <w:bookmarkStart w:id="215" w:name="page216"/>
    <w:bookmarkEnd w:id="215"/>
    <w:p>
      <w:pPr>
        <w:ind w:right="240"/>
        <w:spacing w:after="0" w:line="297" w:lineRule="auto"/>
        <w:rPr>
          <w:sz w:val="20"/>
          <w:szCs w:val="20"/>
          <w:color w:val="auto"/>
        </w:rPr>
      </w:pPr>
      <w:r>
        <w:rPr>
          <w:rFonts w:ascii="Arial" w:cs="Arial" w:eastAsia="Arial" w:hAnsi="Arial"/>
          <w:sz w:val="19"/>
          <w:szCs w:val="19"/>
          <w:color w:val="auto"/>
        </w:rPr>
        <w:t>in which they are engaged, taken as a whole;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have a material adverse effect on the Company and its subsidiaries, taken as a whole.</w:t>
      </w:r>
    </w:p>
    <w:p>
      <w:pPr>
        <w:spacing w:after="0" w:line="93" w:lineRule="exact"/>
        <w:rPr>
          <w:sz w:val="20"/>
          <w:szCs w:val="20"/>
          <w:color w:val="auto"/>
        </w:rPr>
      </w:pPr>
    </w:p>
    <w:p>
      <w:pPr>
        <w:ind w:right="60" w:firstLine="968"/>
        <w:spacing w:after="0" w:line="290" w:lineRule="auto"/>
        <w:tabs>
          <w:tab w:leader="none" w:pos="152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Company and each of its subsidiaries, taken as a whole, possess all certificates, authorizations and permits issued by the appropriate federal, state or foreign regulatory authorities necessary to conduct their respective businesses, except where the failure to obtain such certificates, authorizations or permits would not, individually or in the aggregate, reasonably be expected to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 except as described in the Time of Sale Prospectus.</w:t>
      </w:r>
    </w:p>
    <w:p>
      <w:pPr>
        <w:spacing w:after="0" w:line="101" w:lineRule="exact"/>
        <w:rPr>
          <w:rFonts w:ascii="Arial" w:cs="Arial" w:eastAsia="Arial" w:hAnsi="Arial"/>
          <w:sz w:val="19"/>
          <w:szCs w:val="19"/>
          <w:color w:val="auto"/>
        </w:rPr>
      </w:pPr>
    </w:p>
    <w:p>
      <w:pPr>
        <w:ind w:firstLine="968"/>
        <w:spacing w:after="0" w:line="286" w:lineRule="auto"/>
        <w:tabs>
          <w:tab w:leader="none" w:pos="154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consolidated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indicated and its results of operations and cash flows for the periods shown, and such financial statements have been prepared in conformity with generally accepted accounting principles in the United States (“</w:t>
      </w:r>
      <w:r>
        <w:rPr>
          <w:rFonts w:ascii="Arial" w:cs="Arial" w:eastAsia="Arial" w:hAnsi="Arial"/>
          <w:sz w:val="19"/>
          <w:szCs w:val="19"/>
          <w:b w:val="1"/>
          <w:bCs w:val="1"/>
          <w:color w:val="auto"/>
        </w:rPr>
        <w:t>U.S. GAAP</w:t>
      </w:r>
      <w:r>
        <w:rPr>
          <w:rFonts w:ascii="Arial" w:cs="Arial" w:eastAsia="Arial" w:hAnsi="Arial"/>
          <w:sz w:val="19"/>
          <w:szCs w:val="19"/>
          <w:color w:val="auto"/>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105" w:lineRule="exact"/>
        <w:rPr>
          <w:rFonts w:ascii="Arial" w:cs="Arial" w:eastAsia="Arial" w:hAnsi="Arial"/>
          <w:sz w:val="19"/>
          <w:szCs w:val="19"/>
          <w:color w:val="auto"/>
        </w:rPr>
      </w:pPr>
    </w:p>
    <w:p>
      <w:pPr>
        <w:ind w:right="260" w:firstLine="968"/>
        <w:spacing w:after="0" w:line="298" w:lineRule="auto"/>
        <w:tabs>
          <w:tab w:leader="none" w:pos="152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Deloitte &amp; Touche LLP (“</w:t>
      </w:r>
      <w:r>
        <w:rPr>
          <w:rFonts w:ascii="Arial" w:cs="Arial" w:eastAsia="Arial" w:hAnsi="Arial"/>
          <w:sz w:val="19"/>
          <w:szCs w:val="19"/>
          <w:b w:val="1"/>
          <w:bCs w:val="1"/>
          <w:color w:val="auto"/>
        </w:rPr>
        <w:t>Deloitte</w:t>
      </w:r>
      <w:r>
        <w:rPr>
          <w:rFonts w:ascii="Arial" w:cs="Arial" w:eastAsia="Arial" w:hAnsi="Arial"/>
          <w:sz w:val="19"/>
          <w:szCs w:val="19"/>
          <w:color w:val="auto"/>
        </w:rPr>
        <w:t>”),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40"/>
          </w:cols>
          <w:pgMar w:left="980" w:top="1428" w:right="37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by the Commission and the Public Company Accounting Oversight Board (United States).</w:t>
      </w:r>
    </w:p>
    <w:p>
      <w:pPr>
        <w:spacing w:after="0" w:line="166" w:lineRule="exact"/>
        <w:rPr>
          <w:sz w:val="20"/>
          <w:szCs w:val="20"/>
          <w:color w:val="auto"/>
        </w:rPr>
      </w:pPr>
    </w:p>
    <w:p>
      <w:pPr>
        <w:ind w:right="80" w:firstLine="968"/>
        <w:spacing w:after="0" w:line="288" w:lineRule="auto"/>
        <w:tabs>
          <w:tab w:leader="none" w:pos="1468"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Company and its subsidiaries taken as a whole,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there has been (i) no material weakness in the Company’s internal control over financial reporting, as defined in Rule 13(a)-15(f) under the Exchange Act (whether or not remediated) and (ii) no change in the Company’s internal control over financial reporting that has materially affected, or is reasonably likely to materially affect, the Company’s internal control over financial reporting.</w:t>
      </w:r>
    </w:p>
    <w:p>
      <w:pPr>
        <w:spacing w:after="0" w:line="105" w:lineRule="exact"/>
        <w:rPr>
          <w:rFonts w:ascii="Arial" w:cs="Arial" w:eastAsia="Arial" w:hAnsi="Arial"/>
          <w:sz w:val="19"/>
          <w:szCs w:val="19"/>
          <w:color w:val="auto"/>
        </w:rPr>
      </w:pPr>
    </w:p>
    <w:p>
      <w:pPr>
        <w:ind w:right="20" w:firstLine="968"/>
        <w:spacing w:after="0" w:line="248" w:lineRule="auto"/>
        <w:tabs>
          <w:tab w:leader="none" w:pos="1548" w:val="left"/>
        </w:tabs>
        <w:numPr>
          <w:ilvl w:val="0"/>
          <w:numId w:val="140"/>
        </w:numPr>
        <w:rPr>
          <w:rFonts w:ascii="Arial" w:cs="Arial" w:eastAsia="Arial" w:hAnsi="Arial"/>
          <w:sz w:val="22"/>
          <w:szCs w:val="22"/>
          <w:color w:val="auto"/>
        </w:rPr>
      </w:pPr>
      <w:r>
        <w:rPr>
          <w:rFonts w:ascii="Arial" w:cs="Arial" w:eastAsia="Arial" w:hAnsi="Arial"/>
          <w:sz w:val="22"/>
          <w:szCs w:val="22"/>
          <w:color w:val="auto"/>
        </w:rPr>
        <w:t>Except as described in the Registration Statement, the Prospectus or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37" w:lineRule="exact"/>
        <w:rPr>
          <w:rFonts w:ascii="Arial" w:cs="Arial" w:eastAsia="Arial" w:hAnsi="Arial"/>
          <w:sz w:val="22"/>
          <w:szCs w:val="22"/>
          <w:color w:val="auto"/>
        </w:rPr>
      </w:pPr>
    </w:p>
    <w:p>
      <w:pPr>
        <w:ind w:right="20" w:firstLine="968"/>
        <w:spacing w:after="0" w:line="287" w:lineRule="auto"/>
        <w:tabs>
          <w:tab w:leader="none" w:pos="154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Company and each of its subsidiaries have filed all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its subsidiaries, taken as a whole) and have paid all taxes required to be paid thereon (except for cases in which the failure to file or pay would not reasonably be expected to have a material adverse effect on the Company and its subsidiaries taken as a whole, or, except as currently being contested in good faith and for which reserves required by U.S. GAAP have been created in the financial statements of the Company), and no unpaid tax deficiency has been determined adversely to the Company or any of its subsidiaries that has had a material adverse effect. Neither the Company nor any of its subsidiaries have received any written notice or have knowledge of any unpaid tax deficiency that is reasonably expected to be determined adversely to the Company or its subsidiaries and would reasonably be expected to have a material adverse effect on the Company and its subsidiaries, taken as a whole.</w:t>
      </w:r>
    </w:p>
    <w:p>
      <w:pPr>
        <w:spacing w:after="0" w:line="109" w:lineRule="exact"/>
        <w:rPr>
          <w:rFonts w:ascii="Arial" w:cs="Arial" w:eastAsia="Arial" w:hAnsi="Arial"/>
          <w:sz w:val="19"/>
          <w:szCs w:val="19"/>
          <w:color w:val="auto"/>
        </w:rPr>
      </w:pPr>
    </w:p>
    <w:p>
      <w:pPr>
        <w:jc w:val="both"/>
        <w:ind w:firstLine="968"/>
        <w:spacing w:after="0" w:line="253" w:lineRule="auto"/>
        <w:tabs>
          <w:tab w:leader="none" w:pos="145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From the time of initial confidential submission of the Registration Statement to the Commission through the date hereof, the Company has been and is an “emerging growth company,” as defined in Section 2(a) of the Securities Act (an “</w:t>
      </w:r>
      <w:r>
        <w:rPr>
          <w:rFonts w:ascii="Arial" w:cs="Arial" w:eastAsia="Arial" w:hAnsi="Arial"/>
          <w:sz w:val="22"/>
          <w:szCs w:val="22"/>
          <w:b w:val="1"/>
          <w:bCs w:val="1"/>
          <w:color w:val="auto"/>
        </w:rPr>
        <w:t>Emerging Growth Company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60"/>
          </w:cols>
          <w:pgMar w:left="980" w:top="1428" w:right="359" w:bottom="1440" w:gutter="0" w:footer="0" w:header="0"/>
        </w:sectPr>
      </w:pPr>
    </w:p>
    <w:bookmarkStart w:id="217" w:name="page218"/>
    <w:bookmarkEnd w:id="217"/>
    <w:p>
      <w:pPr>
        <w:ind w:left="660" w:firstLine="968"/>
        <w:spacing w:after="0" w:line="258" w:lineRule="auto"/>
        <w:tabs>
          <w:tab w:leader="none" w:pos="2108" w:val="left"/>
        </w:tabs>
        <w:numPr>
          <w:ilvl w:val="1"/>
          <w:numId w:val="141"/>
        </w:numPr>
        <w:rPr>
          <w:rFonts w:ascii="Arial" w:cs="Arial" w:eastAsia="Arial" w:hAnsi="Arial"/>
          <w:sz w:val="21"/>
          <w:szCs w:val="21"/>
          <w:color w:val="auto"/>
        </w:rPr>
      </w:pPr>
      <w:r>
        <w:rPr>
          <w:rFonts w:ascii="Arial" w:cs="Arial" w:eastAsia="Arial" w:hAnsi="Arial"/>
          <w:sz w:val="21"/>
          <w:szCs w:val="21"/>
          <w:color w:val="auto"/>
        </w:rPr>
        <w:t>The Company (i) has not alone engaged in any Testing-the-Waters Communication with any person other than Testing-the-Waters Communications with the consent of Morgan Stanley &amp; Co. LLC, KeyBanc Capital Markets Inc. or BofA Securities, Inc. (the “</w:t>
      </w:r>
      <w:r>
        <w:rPr>
          <w:rFonts w:ascii="Arial" w:cs="Arial" w:eastAsia="Arial" w:hAnsi="Arial"/>
          <w:sz w:val="21"/>
          <w:szCs w:val="21"/>
          <w:b w:val="1"/>
          <w:bCs w:val="1"/>
          <w:color w:val="auto"/>
        </w:rPr>
        <w:t>Authorized Underwriters</w:t>
      </w:r>
      <w:r>
        <w:rPr>
          <w:rFonts w:ascii="Arial" w:cs="Arial" w:eastAsia="Arial" w:hAnsi="Arial"/>
          <w:sz w:val="21"/>
          <w:szCs w:val="21"/>
          <w:color w:val="auto"/>
        </w:rPr>
        <w:t>”)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Authorized Underwriters to engage in Testing-the-Waters Communications. The Company reconfirms that the Authorized Underwriters have been authorized to act on its behalf in undertaking Testing-the-Waters Communications. The Company has not distributed any Testing-the-Waters Communication that is a written communication within the meaning of Rule 405 under the Securities Act other than those listed on Schedule III hereto. “</w:t>
      </w:r>
      <w:r>
        <w:rPr>
          <w:rFonts w:ascii="Arial" w:cs="Arial" w:eastAsia="Arial" w:hAnsi="Arial"/>
          <w:sz w:val="21"/>
          <w:szCs w:val="21"/>
          <w:b w:val="1"/>
          <w:bCs w:val="1"/>
          <w:color w:val="auto"/>
        </w:rPr>
        <w:t>Testing-the-Waters Communication</w:t>
      </w:r>
      <w:r>
        <w:rPr>
          <w:rFonts w:ascii="Arial" w:cs="Arial" w:eastAsia="Arial" w:hAnsi="Arial"/>
          <w:sz w:val="21"/>
          <w:szCs w:val="21"/>
          <w:color w:val="auto"/>
        </w:rPr>
        <w:t>” means any communication with potential investors undertaken in reliance on Section 5(d) or Rule 163B of the Securities Act.</w:t>
      </w:r>
    </w:p>
    <w:p>
      <w:pPr>
        <w:spacing w:after="0" w:line="127" w:lineRule="exact"/>
        <w:rPr>
          <w:rFonts w:ascii="Arial" w:cs="Arial" w:eastAsia="Arial" w:hAnsi="Arial"/>
          <w:sz w:val="21"/>
          <w:szCs w:val="21"/>
          <w:color w:val="auto"/>
        </w:rPr>
      </w:pPr>
    </w:p>
    <w:p>
      <w:pPr>
        <w:ind w:left="660" w:right="80" w:firstLine="968"/>
        <w:spacing w:after="0" w:line="290" w:lineRule="auto"/>
        <w:tabs>
          <w:tab w:leader="none" w:pos="2196"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or on behalf of the Representatives for use therein.</w:t>
      </w:r>
    </w:p>
    <w:p>
      <w:pPr>
        <w:spacing w:after="0" w:line="101" w:lineRule="exact"/>
        <w:rPr>
          <w:rFonts w:ascii="Arial" w:cs="Arial" w:eastAsia="Arial" w:hAnsi="Arial"/>
          <w:sz w:val="19"/>
          <w:szCs w:val="19"/>
          <w:color w:val="auto"/>
        </w:rPr>
      </w:pPr>
    </w:p>
    <w:p>
      <w:pPr>
        <w:ind w:right="420" w:firstLine="818"/>
        <w:spacing w:after="0" w:line="265" w:lineRule="auto"/>
        <w:tabs>
          <w:tab w:leader="none" w:pos="1188" w:val="left"/>
        </w:tabs>
        <w:numPr>
          <w:ilvl w:val="0"/>
          <w:numId w:val="142"/>
        </w:numPr>
        <w:rPr>
          <w:rFonts w:ascii="Arial" w:cs="Arial" w:eastAsia="Arial" w:hAnsi="Arial"/>
          <w:sz w:val="21"/>
          <w:szCs w:val="21"/>
          <w:color w:val="auto"/>
        </w:rPr>
      </w:pPr>
      <w:r>
        <w:rPr>
          <w:rFonts w:ascii="Arial" w:cs="Arial" w:eastAsia="Arial" w:hAnsi="Arial"/>
          <w:sz w:val="21"/>
          <w:szCs w:val="21"/>
          <w:i w:val="1"/>
          <w:iCs w:val="1"/>
          <w:color w:val="auto"/>
        </w:rPr>
        <w:t xml:space="preserve">Agreements to Sell and Purchase. </w:t>
      </w:r>
      <w:r>
        <w:rPr>
          <w:rFonts w:ascii="Arial" w:cs="Arial" w:eastAsia="Arial" w:hAnsi="Arial"/>
          <w:sz w:val="21"/>
          <w:szCs w:val="21"/>
          <w:color w:val="auto"/>
        </w:rPr>
        <w:t>The Company hereby agrees to sell to the several Underwriters, and each</w:t>
      </w:r>
      <w:r>
        <w:rPr>
          <w:rFonts w:ascii="Arial" w:cs="Arial" w:eastAsia="Arial" w:hAnsi="Arial"/>
          <w:sz w:val="21"/>
          <w:szCs w:val="21"/>
          <w:i w:val="1"/>
          <w:iCs w:val="1"/>
          <w:color w:val="auto"/>
        </w:rPr>
        <w:t xml:space="preserve"> </w:t>
      </w:r>
      <w:r>
        <w:rPr>
          <w:rFonts w:ascii="Arial" w:cs="Arial" w:eastAsia="Arial" w:hAnsi="Arial"/>
          <w:sz w:val="21"/>
          <w:szCs w:val="21"/>
          <w:color w:val="auto"/>
        </w:rPr>
        <w:t>Underwriter, upon the basis of the representations and warranties herein contained, but subject to the terms and conditions hereinafter stated, agrees, severally and not jointly, to purchase from the Company the respective numbers of Firm Shares set forth in Schedule I hereto opposite its name at $[ l ] a share (the “</w:t>
      </w:r>
      <w:r>
        <w:rPr>
          <w:rFonts w:ascii="Arial" w:cs="Arial" w:eastAsia="Arial" w:hAnsi="Arial"/>
          <w:sz w:val="21"/>
          <w:szCs w:val="21"/>
          <w:b w:val="1"/>
          <w:bCs w:val="1"/>
          <w:color w:val="auto"/>
        </w:rPr>
        <w:t>Purchase Price</w:t>
      </w:r>
      <w:r>
        <w:rPr>
          <w:rFonts w:ascii="Arial" w:cs="Arial" w:eastAsia="Arial" w:hAnsi="Arial"/>
          <w:sz w:val="21"/>
          <w:szCs w:val="21"/>
          <w:color w:val="auto"/>
        </w:rPr>
        <w:t>”).</w:t>
      </w:r>
    </w:p>
    <w:p>
      <w:pPr>
        <w:spacing w:after="0" w:line="121"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l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Additional Shares are to be purchased. Each purchase date must be at least one business day after the written notice is given and may not be earlier than the closing date for the Firm Shares or later than ten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28" w:right="359" w:bottom="1440" w:gutter="0" w:footer="0" w:header="0"/>
        </w:sectPr>
      </w:pPr>
    </w:p>
    <w:bookmarkStart w:id="218" w:name="page219"/>
    <w:bookmarkEnd w:id="218"/>
    <w:p>
      <w:pPr>
        <w:ind w:right="40"/>
        <w:spacing w:after="0" w:line="294" w:lineRule="auto"/>
        <w:rPr>
          <w:sz w:val="20"/>
          <w:szCs w:val="20"/>
          <w:color w:val="auto"/>
        </w:rPr>
      </w:pPr>
      <w:r>
        <w:rPr>
          <w:rFonts w:ascii="Arial" w:cs="Arial" w:eastAsia="Arial" w:hAnsi="Arial"/>
          <w:sz w:val="19"/>
          <w:szCs w:val="19"/>
          <w:color w:val="auto"/>
        </w:rPr>
        <w:t>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9"/>
          <w:szCs w:val="19"/>
          <w:b w:val="1"/>
          <w:bCs w:val="1"/>
          <w:color w:val="auto"/>
        </w:rPr>
        <w:t>Option Closing Date</w:t>
      </w:r>
      <w:r>
        <w:rPr>
          <w:rFonts w:ascii="Arial" w:cs="Arial" w:eastAsia="Arial" w:hAnsi="Arial"/>
          <w:sz w:val="19"/>
          <w:szCs w:val="19"/>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95" w:lineRule="exact"/>
        <w:rPr>
          <w:sz w:val="20"/>
          <w:szCs w:val="20"/>
          <w:color w:val="auto"/>
        </w:rPr>
      </w:pPr>
    </w:p>
    <w:p>
      <w:pPr>
        <w:ind w:right="80" w:firstLine="818"/>
        <w:spacing w:after="0" w:line="260" w:lineRule="auto"/>
        <w:tabs>
          <w:tab w:leader="none" w:pos="1188" w:val="left"/>
        </w:tabs>
        <w:numPr>
          <w:ilvl w:val="0"/>
          <w:numId w:val="143"/>
        </w:numPr>
        <w:rPr>
          <w:rFonts w:ascii="Arial" w:cs="Arial" w:eastAsia="Arial" w:hAnsi="Arial"/>
          <w:sz w:val="21"/>
          <w:szCs w:val="21"/>
          <w:color w:val="auto"/>
        </w:rPr>
      </w:pPr>
      <w:r>
        <w:rPr>
          <w:rFonts w:ascii="Arial" w:cs="Arial" w:eastAsia="Arial" w:hAnsi="Arial"/>
          <w:sz w:val="21"/>
          <w:szCs w:val="21"/>
          <w:i w:val="1"/>
          <w:iCs w:val="1"/>
          <w:color w:val="auto"/>
        </w:rPr>
        <w:t>Terms of Public Offering</w:t>
      </w:r>
      <w:r>
        <w:rPr>
          <w:rFonts w:ascii="Arial" w:cs="Arial" w:eastAsia="Arial" w:hAnsi="Arial"/>
          <w:sz w:val="21"/>
          <w:szCs w:val="21"/>
          <w:color w:val="auto"/>
        </w:rPr>
        <w:t>. The Company is advised by the Representatives that the Underwriters propose to make a</w:t>
      </w:r>
      <w:r>
        <w:rPr>
          <w:rFonts w:ascii="Arial" w:cs="Arial" w:eastAsia="Arial" w:hAnsi="Arial"/>
          <w:sz w:val="21"/>
          <w:szCs w:val="21"/>
          <w:i w:val="1"/>
          <w:iCs w:val="1"/>
          <w:color w:val="auto"/>
        </w:rPr>
        <w:t xml:space="preserve"> </w:t>
      </w:r>
      <w:r>
        <w:rPr>
          <w:rFonts w:ascii="Arial" w:cs="Arial" w:eastAsia="Arial" w:hAnsi="Arial"/>
          <w:sz w:val="21"/>
          <w:szCs w:val="21"/>
          <w:color w:val="auto"/>
        </w:rPr>
        <w:t>public offering of their respective portions of the Shares as soon after the Registration Statement and this Agreement have become effective as in the Representatives’ judgment is advisable. The Company is further advised by the Representatives that the Shares are to be offered to the public initially at $[ l ] a share (the “</w:t>
      </w:r>
      <w:r>
        <w:rPr>
          <w:rFonts w:ascii="Arial" w:cs="Arial" w:eastAsia="Arial" w:hAnsi="Arial"/>
          <w:sz w:val="21"/>
          <w:szCs w:val="21"/>
          <w:b w:val="1"/>
          <w:bCs w:val="1"/>
          <w:color w:val="auto"/>
        </w:rPr>
        <w:t>Public Offering Price</w:t>
      </w:r>
      <w:r>
        <w:rPr>
          <w:rFonts w:ascii="Arial" w:cs="Arial" w:eastAsia="Arial" w:hAnsi="Arial"/>
          <w:sz w:val="21"/>
          <w:szCs w:val="21"/>
          <w:color w:val="auto"/>
        </w:rPr>
        <w:t>”) and to certain dealers selected by the Representatives at a price that represents a concession not in excess of $[ l ] a share under the Public Offering Price, and that any Underwriter may allow, and such dealers may reallow, a concession, not in excess of $[ l ] a share, to any Underwriter or to certain other dealers.</w:t>
      </w:r>
    </w:p>
    <w:p>
      <w:pPr>
        <w:spacing w:after="0" w:line="126" w:lineRule="exact"/>
        <w:rPr>
          <w:rFonts w:ascii="Arial" w:cs="Arial" w:eastAsia="Arial" w:hAnsi="Arial"/>
          <w:sz w:val="21"/>
          <w:szCs w:val="21"/>
          <w:color w:val="auto"/>
        </w:rPr>
      </w:pPr>
    </w:p>
    <w:p>
      <w:pPr>
        <w:ind w:right="380" w:firstLine="818"/>
        <w:spacing w:after="0" w:line="222" w:lineRule="auto"/>
        <w:tabs>
          <w:tab w:leader="none" w:pos="1188" w:val="left"/>
        </w:tabs>
        <w:numPr>
          <w:ilvl w:val="0"/>
          <w:numId w:val="143"/>
        </w:numPr>
        <w:rPr>
          <w:rFonts w:ascii="Arial" w:cs="Arial" w:eastAsia="Arial" w:hAnsi="Arial"/>
          <w:sz w:val="22"/>
          <w:szCs w:val="22"/>
          <w:color w:val="auto"/>
        </w:rPr>
      </w:pPr>
      <w:r>
        <w:rPr>
          <w:rFonts w:ascii="Arial" w:cs="Arial" w:eastAsia="Arial" w:hAnsi="Arial"/>
          <w:sz w:val="22"/>
          <w:szCs w:val="22"/>
          <w:i w:val="1"/>
          <w:iCs w:val="1"/>
          <w:color w:val="auto"/>
        </w:rPr>
        <w:t xml:space="preserve">Payment and Delivery. </w:t>
      </w:r>
      <w:r>
        <w:rPr>
          <w:rFonts w:ascii="Arial" w:cs="Arial" w:eastAsia="Arial" w:hAnsi="Arial"/>
          <w:sz w:val="22"/>
          <w:szCs w:val="22"/>
          <w:color w:val="auto"/>
        </w:rPr>
        <w:t>Payment for the Firm Shares shall be made to the Company in Federal or other funds</w:t>
      </w:r>
      <w:r>
        <w:rPr>
          <w:rFonts w:ascii="Arial" w:cs="Arial" w:eastAsia="Arial" w:hAnsi="Arial"/>
          <w:sz w:val="22"/>
          <w:szCs w:val="22"/>
          <w:i w:val="1"/>
          <w:iCs w:val="1"/>
          <w:color w:val="auto"/>
        </w:rPr>
        <w:t xml:space="preserve"> </w:t>
      </w:r>
      <w:r>
        <w:rPr>
          <w:rFonts w:ascii="Arial" w:cs="Arial" w:eastAsia="Arial" w:hAnsi="Arial"/>
          <w:sz w:val="22"/>
          <w:szCs w:val="22"/>
          <w:color w:val="auto"/>
        </w:rPr>
        <w:t>immediately available in New York City against delivery of such Firm Shares for the respective accounts of the several Underwriters at 10:00 a.m., New York City time, on [ l ], 2021,</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or at such other time on the same or such other date, not later than [ l ], 2021,</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as shall be designated in writing by the Representatives. The time and date of such payment are hereinafter referred to as the “</w:t>
      </w:r>
      <w:r>
        <w:rPr>
          <w:rFonts w:ascii="Arial" w:cs="Arial" w:eastAsia="Arial" w:hAnsi="Arial"/>
          <w:sz w:val="22"/>
          <w:szCs w:val="22"/>
          <w:b w:val="1"/>
          <w:bCs w:val="1"/>
          <w:color w:val="auto"/>
        </w:rPr>
        <w:t>Closing Date</w:t>
      </w:r>
      <w:r>
        <w:rPr>
          <w:rFonts w:ascii="Arial" w:cs="Arial" w:eastAsia="Arial" w:hAnsi="Arial"/>
          <w:sz w:val="22"/>
          <w:szCs w:val="22"/>
          <w:color w:val="auto"/>
        </w:rPr>
        <w:t>.”</w:t>
      </w:r>
    </w:p>
    <w:p>
      <w:pPr>
        <w:spacing w:after="0" w:line="147" w:lineRule="exact"/>
        <w:rPr>
          <w:sz w:val="20"/>
          <w:szCs w:val="20"/>
          <w:color w:val="auto"/>
        </w:rPr>
      </w:pPr>
    </w:p>
    <w:p>
      <w:pPr>
        <w:ind w:right="40" w:firstLine="648"/>
        <w:spacing w:after="0" w:line="284" w:lineRule="auto"/>
        <w:rPr>
          <w:sz w:val="20"/>
          <w:szCs w:val="20"/>
          <w:color w:val="auto"/>
        </w:rPr>
      </w:pPr>
      <w:r>
        <w:rPr>
          <w:rFonts w:ascii="Arial" w:cs="Arial" w:eastAsia="Arial" w:hAnsi="Arial"/>
          <w:sz w:val="20"/>
          <w:szCs w:val="20"/>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l ], 2021,</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as shall be designated in writing by the Representatives.</w:t>
      </w:r>
    </w:p>
    <w:p>
      <w:pPr>
        <w:spacing w:after="0" w:line="18"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714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ind w:left="760" w:hanging="104"/>
        <w:spacing w:after="0"/>
        <w:tabs>
          <w:tab w:leader="none" w:pos="760" w:val="left"/>
        </w:tabs>
        <w:numPr>
          <w:ilvl w:val="0"/>
          <w:numId w:val="144"/>
        </w:numPr>
        <w:rPr>
          <w:rFonts w:ascii="Arial" w:cs="Arial" w:eastAsia="Arial" w:hAnsi="Arial"/>
          <w:sz w:val="23"/>
          <w:szCs w:val="23"/>
          <w:color w:val="auto"/>
          <w:vertAlign w:val="superscript"/>
        </w:rPr>
      </w:pPr>
      <w:r>
        <w:rPr>
          <w:rFonts w:ascii="Arial" w:cs="Arial" w:eastAsia="Arial" w:hAnsi="Arial"/>
          <w:sz w:val="18"/>
          <w:szCs w:val="18"/>
          <w:color w:val="auto"/>
        </w:rPr>
        <w:t>NTD: 3 business days after date of Underwriting Agreement</w:t>
      </w:r>
    </w:p>
    <w:p>
      <w:pPr>
        <w:spacing w:after="0" w:line="114" w:lineRule="exact"/>
        <w:rPr>
          <w:sz w:val="20"/>
          <w:szCs w:val="20"/>
          <w:color w:val="auto"/>
        </w:rPr>
      </w:pPr>
    </w:p>
    <w:p>
      <w:pPr>
        <w:ind w:left="760" w:hanging="104"/>
        <w:spacing w:after="0"/>
        <w:tabs>
          <w:tab w:leader="none" w:pos="760" w:val="left"/>
        </w:tabs>
        <w:numPr>
          <w:ilvl w:val="0"/>
          <w:numId w:val="145"/>
        </w:numPr>
        <w:rPr>
          <w:rFonts w:ascii="Arial" w:cs="Arial" w:eastAsia="Arial" w:hAnsi="Arial"/>
          <w:sz w:val="23"/>
          <w:szCs w:val="23"/>
          <w:color w:val="auto"/>
          <w:vertAlign w:val="superscript"/>
        </w:rPr>
      </w:pPr>
      <w:r>
        <w:rPr>
          <w:rFonts w:ascii="Arial" w:cs="Arial" w:eastAsia="Arial" w:hAnsi="Arial"/>
          <w:sz w:val="18"/>
          <w:szCs w:val="18"/>
          <w:color w:val="auto"/>
        </w:rPr>
        <w:t>NTD: 8 business days after date of Underwriting Agreement</w:t>
      </w:r>
    </w:p>
    <w:p>
      <w:pPr>
        <w:spacing w:after="0" w:line="114" w:lineRule="exact"/>
        <w:rPr>
          <w:sz w:val="20"/>
          <w:szCs w:val="20"/>
          <w:color w:val="auto"/>
        </w:rPr>
      </w:pPr>
    </w:p>
    <w:p>
      <w:pPr>
        <w:ind w:left="760" w:hanging="104"/>
        <w:spacing w:after="0"/>
        <w:tabs>
          <w:tab w:leader="none" w:pos="760" w:val="left"/>
        </w:tabs>
        <w:numPr>
          <w:ilvl w:val="0"/>
          <w:numId w:val="146"/>
        </w:numPr>
        <w:rPr>
          <w:rFonts w:ascii="Arial" w:cs="Arial" w:eastAsia="Arial" w:hAnsi="Arial"/>
          <w:sz w:val="23"/>
          <w:szCs w:val="23"/>
          <w:color w:val="auto"/>
          <w:vertAlign w:val="superscript"/>
        </w:rPr>
      </w:pPr>
      <w:r>
        <w:rPr>
          <w:rFonts w:ascii="Arial" w:cs="Arial" w:eastAsia="Arial" w:hAnsi="Arial"/>
          <w:sz w:val="18"/>
          <w:szCs w:val="18"/>
          <w:color w:val="auto"/>
        </w:rPr>
        <w:t>NTD: 10 business days after expiration of the green shoe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19" w:name="page220"/>
    <w:bookmarkEnd w:id="219"/>
    <w:p>
      <w:pPr>
        <w:ind w:right="40" w:firstLine="818"/>
        <w:spacing w:after="0" w:line="250" w:lineRule="auto"/>
        <w:tabs>
          <w:tab w:leader="none" w:pos="1188" w:val="left"/>
        </w:tabs>
        <w:numPr>
          <w:ilvl w:val="0"/>
          <w:numId w:val="147"/>
        </w:numPr>
        <w:rPr>
          <w:rFonts w:ascii="Arial" w:cs="Arial" w:eastAsia="Arial" w:hAnsi="Arial"/>
          <w:sz w:val="22"/>
          <w:szCs w:val="22"/>
          <w:color w:val="auto"/>
        </w:rPr>
      </w:pPr>
      <w:r>
        <w:rPr>
          <w:rFonts w:ascii="Arial" w:cs="Arial" w:eastAsia="Arial" w:hAnsi="Arial"/>
          <w:sz w:val="22"/>
          <w:szCs w:val="22"/>
          <w:i w:val="1"/>
          <w:iCs w:val="1"/>
          <w:color w:val="auto"/>
        </w:rPr>
        <w:t>Conditions to the Underwriters’ Obligations</w:t>
      </w:r>
      <w:r>
        <w:rPr>
          <w:rFonts w:ascii="Arial" w:cs="Arial" w:eastAsia="Arial" w:hAnsi="Arial"/>
          <w:sz w:val="22"/>
          <w:szCs w:val="22"/>
          <w:color w:val="auto"/>
        </w:rPr>
        <w:t>. The obligations of the Company to sell the Shares to the Underwriters</w:t>
      </w:r>
      <w:r>
        <w:rPr>
          <w:rFonts w:ascii="Arial" w:cs="Arial" w:eastAsia="Arial" w:hAnsi="Arial"/>
          <w:sz w:val="22"/>
          <w:szCs w:val="22"/>
          <w:i w:val="1"/>
          <w:iCs w:val="1"/>
          <w:color w:val="auto"/>
        </w:rPr>
        <w:t xml:space="preserve"> </w:t>
      </w:r>
      <w:r>
        <w:rPr>
          <w:rFonts w:ascii="Arial" w:cs="Arial" w:eastAsia="Arial" w:hAnsi="Arial"/>
          <w:sz w:val="22"/>
          <w:szCs w:val="22"/>
          <w:color w:val="auto"/>
        </w:rPr>
        <w:t>and the several obligations of the Underwriters to purchase and pay for the Shares on the Closing Date are subject to the condition that the Registration Statement shall have become effective not later than [4:00] p.m. (New York City time) on the date hereof.</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several obligations of the Underwriters are subject to the following further conditions:</w:t>
      </w:r>
    </w:p>
    <w:p>
      <w:pPr>
        <w:spacing w:after="0" w:line="166" w:lineRule="exact"/>
        <w:rPr>
          <w:sz w:val="20"/>
          <w:szCs w:val="20"/>
          <w:color w:val="auto"/>
        </w:rPr>
      </w:pPr>
    </w:p>
    <w:p>
      <w:pPr>
        <w:ind w:left="2080" w:hanging="452"/>
        <w:spacing w:after="0"/>
        <w:tabs>
          <w:tab w:leader="none" w:pos="208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Subsequent to the execution and delivery of this Agreement and prior to the Closing Date:</w:t>
      </w:r>
    </w:p>
    <w:p>
      <w:pPr>
        <w:spacing w:after="0" w:line="165" w:lineRule="exact"/>
        <w:rPr>
          <w:rFonts w:ascii="Arial" w:cs="Arial" w:eastAsia="Arial" w:hAnsi="Arial"/>
          <w:sz w:val="22"/>
          <w:szCs w:val="22"/>
          <w:color w:val="auto"/>
        </w:rPr>
      </w:pPr>
    </w:p>
    <w:p>
      <w:pPr>
        <w:ind w:left="1300" w:right="380" w:firstLine="1138"/>
        <w:spacing w:after="0" w:line="253" w:lineRule="auto"/>
        <w:tabs>
          <w:tab w:leader="none" w:pos="2854" w:val="left"/>
        </w:tabs>
        <w:numPr>
          <w:ilvl w:val="1"/>
          <w:numId w:val="148"/>
        </w:numPr>
        <w:rPr>
          <w:rFonts w:ascii="Arial" w:cs="Arial" w:eastAsia="Arial" w:hAnsi="Arial"/>
          <w:sz w:val="22"/>
          <w:szCs w:val="22"/>
          <w:color w:val="auto"/>
        </w:rPr>
      </w:pPr>
      <w:r>
        <w:rPr>
          <w:rFonts w:ascii="Arial" w:cs="Arial" w:eastAsia="Arial" w:hAnsi="Arial"/>
          <w:sz w:val="22"/>
          <w:szCs w:val="22"/>
          <w:color w:val="auto"/>
        </w:rPr>
        <w:t>no order suspending the effectiveness of the Registration Statement shall be in effect, and no proceeding for such purpose or pursuant to Section 8A under the Securities Act shall be pending before or threatened by the Commission;</w:t>
      </w:r>
    </w:p>
    <w:p>
      <w:pPr>
        <w:spacing w:after="0" w:line="131" w:lineRule="exact"/>
        <w:rPr>
          <w:rFonts w:ascii="Arial" w:cs="Arial" w:eastAsia="Arial" w:hAnsi="Arial"/>
          <w:sz w:val="22"/>
          <w:szCs w:val="22"/>
          <w:color w:val="auto"/>
        </w:rPr>
      </w:pPr>
    </w:p>
    <w:p>
      <w:pPr>
        <w:ind w:left="1300" w:right="200" w:firstLine="1138"/>
        <w:spacing w:after="0" w:line="253" w:lineRule="auto"/>
        <w:tabs>
          <w:tab w:leader="none" w:pos="2914" w:val="left"/>
        </w:tabs>
        <w:numPr>
          <w:ilvl w:val="1"/>
          <w:numId w:val="148"/>
        </w:numPr>
        <w:rPr>
          <w:rFonts w:ascii="Arial" w:cs="Arial" w:eastAsia="Arial" w:hAnsi="Arial"/>
          <w:sz w:val="22"/>
          <w:szCs w:val="22"/>
          <w:color w:val="auto"/>
        </w:rPr>
      </w:pPr>
      <w:r>
        <w:rPr>
          <w:rFonts w:ascii="Arial" w:cs="Arial" w:eastAsia="Arial" w:hAnsi="Arial"/>
          <w:sz w:val="22"/>
          <w:szCs w:val="22"/>
          <w:color w:val="auto"/>
        </w:rPr>
        <w:t>neither the Company nor any of its subsidiaries nor any controlled affiliate has any securities rated by any “nationally recognized statistical rating organization,” as such term is defined in Section 3(a)(62) of the Exchange Act; and</w:t>
      </w:r>
    </w:p>
    <w:p>
      <w:pPr>
        <w:spacing w:after="0" w:line="131" w:lineRule="exact"/>
        <w:rPr>
          <w:rFonts w:ascii="Arial" w:cs="Arial" w:eastAsia="Arial" w:hAnsi="Arial"/>
          <w:sz w:val="22"/>
          <w:szCs w:val="22"/>
          <w:color w:val="auto"/>
        </w:rPr>
      </w:pPr>
    </w:p>
    <w:p>
      <w:pPr>
        <w:ind w:left="1300" w:right="60" w:firstLine="1138"/>
        <w:spacing w:after="0" w:line="297" w:lineRule="auto"/>
        <w:tabs>
          <w:tab w:leader="none" w:pos="2974"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92" w:lineRule="exact"/>
        <w:rPr>
          <w:rFonts w:ascii="Arial" w:cs="Arial" w:eastAsia="Arial" w:hAnsi="Arial"/>
          <w:sz w:val="19"/>
          <w:szCs w:val="19"/>
          <w:color w:val="auto"/>
        </w:rPr>
      </w:pPr>
    </w:p>
    <w:p>
      <w:pPr>
        <w:ind w:left="660" w:firstLine="968"/>
        <w:spacing w:after="0" w:line="263" w:lineRule="auto"/>
        <w:tabs>
          <w:tab w:leader="none" w:pos="2096"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21"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The officer signing and delivering such certificate may rely upon the best of his or her knowledge as to proceedings threatened.</w:t>
      </w:r>
    </w:p>
    <w:p>
      <w:pPr>
        <w:spacing w:after="0" w:line="121" w:lineRule="exact"/>
        <w:rPr>
          <w:sz w:val="20"/>
          <w:szCs w:val="20"/>
          <w:color w:val="auto"/>
        </w:rPr>
      </w:pPr>
    </w:p>
    <w:p>
      <w:pPr>
        <w:ind w:left="660" w:firstLine="968"/>
        <w:spacing w:after="0" w:line="253" w:lineRule="auto"/>
        <w:tabs>
          <w:tab w:leader="none" w:pos="208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Underwriters shall have received on the Closing Date an opinion and negative assurance letter of Cooley LLP, outside counsel for the Company, dated the Closing Date, in form and substance reasonably acceptable to the Representatives.</w:t>
      </w:r>
    </w:p>
    <w:p>
      <w:pPr>
        <w:spacing w:after="0" w:line="131" w:lineRule="exact"/>
        <w:rPr>
          <w:rFonts w:ascii="Arial" w:cs="Arial" w:eastAsia="Arial" w:hAnsi="Arial"/>
          <w:sz w:val="22"/>
          <w:szCs w:val="22"/>
          <w:color w:val="auto"/>
        </w:rPr>
      </w:pPr>
    </w:p>
    <w:p>
      <w:pPr>
        <w:ind w:left="660" w:right="380" w:firstLine="968"/>
        <w:spacing w:after="0" w:line="263" w:lineRule="auto"/>
        <w:tabs>
          <w:tab w:leader="none" w:pos="209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Underwriters shall have received on the Closing Date an opinion and negative assurance letter of Latham &amp; Watkins LLP, counsel for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220" w:name="page221"/>
    <w:bookmarkEnd w:id="220"/>
    <w:p>
      <w:pPr>
        <w:ind w:left="660"/>
        <w:spacing w:after="0"/>
        <w:rPr>
          <w:sz w:val="20"/>
          <w:szCs w:val="20"/>
          <w:color w:val="auto"/>
        </w:rPr>
      </w:pPr>
      <w:r>
        <w:rPr>
          <w:rFonts w:ascii="Arial" w:cs="Arial" w:eastAsia="Arial" w:hAnsi="Arial"/>
          <w:sz w:val="22"/>
          <w:szCs w:val="22"/>
          <w:color w:val="auto"/>
        </w:rPr>
        <w:t>dated the Closing Date, in form and substance reasonably acceptable to the Representatives.</w:t>
      </w:r>
    </w:p>
    <w:p>
      <w:pPr>
        <w:spacing w:after="0" w:line="166"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color w:val="auto"/>
        </w:rPr>
        <w:t>With respect to the negative assurance letters to be delivered pursuant to Sections 5(c) and 5(d) above, Cooley LLP and Latham &amp; Watkins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88" w:lineRule="exact"/>
        <w:rPr>
          <w:sz w:val="20"/>
          <w:szCs w:val="20"/>
          <w:color w:val="auto"/>
        </w:rPr>
      </w:pPr>
    </w:p>
    <w:p>
      <w:pPr>
        <w:ind w:left="660" w:right="40" w:firstLine="968"/>
        <w:spacing w:after="0" w:line="294" w:lineRule="auto"/>
        <w:tabs>
          <w:tab w:leader="none" w:pos="208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The Underwriters shall have received, on each of the date hereof and the Closing Date, a letter dated the date hereof or the Closing Date, as the case may be, in form and substance reasonably satisfactory to the Underwriters, from Deloitte,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letter delivered on the Closing Date shall use a “cut-off date” not earlier than the date hereof.</w:t>
      </w:r>
    </w:p>
    <w:p>
      <w:pPr>
        <w:spacing w:after="0" w:line="95" w:lineRule="exact"/>
        <w:rPr>
          <w:rFonts w:ascii="Arial" w:cs="Arial" w:eastAsia="Arial" w:hAnsi="Arial"/>
          <w:sz w:val="19"/>
          <w:szCs w:val="19"/>
          <w:color w:val="auto"/>
        </w:rPr>
      </w:pPr>
    </w:p>
    <w:p>
      <w:pPr>
        <w:jc w:val="both"/>
        <w:ind w:left="660" w:right="280" w:firstLine="968"/>
        <w:spacing w:after="0" w:line="253" w:lineRule="auto"/>
        <w:tabs>
          <w:tab w:leader="none" w:pos="20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Underwriters shall have received on the Closing Date a Chief Financial Officer’s certificate, dated the Closing Date and signed on behalf of the Company by the Chief Financial Officer of the Company, to the effect set forth in Exhibit C hereto.</w:t>
      </w:r>
    </w:p>
    <w:p>
      <w:pPr>
        <w:spacing w:after="0" w:line="131" w:lineRule="exact"/>
        <w:rPr>
          <w:rFonts w:ascii="Arial" w:cs="Arial" w:eastAsia="Arial" w:hAnsi="Arial"/>
          <w:sz w:val="22"/>
          <w:szCs w:val="22"/>
          <w:color w:val="auto"/>
        </w:rPr>
      </w:pPr>
    </w:p>
    <w:p>
      <w:pPr>
        <w:ind w:left="660" w:right="300" w:firstLine="968"/>
        <w:spacing w:after="0" w:line="302" w:lineRule="auto"/>
        <w:tabs>
          <w:tab w:leader="none" w:pos="209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“lock-up” agreements, each substantially in the form of Exhibit A hereto, between the Representatives and certain stockholders, officers and directors of the Company relating to restrictions on sales and certain other dispositions of shares of Common Stock or certain other securities, delivered to the Representatives on or before the date hereof (the “</w:t>
      </w:r>
      <w:r>
        <w:rPr>
          <w:rFonts w:ascii="Arial" w:cs="Arial" w:eastAsia="Arial" w:hAnsi="Arial"/>
          <w:sz w:val="19"/>
          <w:szCs w:val="19"/>
          <w:b w:val="1"/>
          <w:bCs w:val="1"/>
          <w:color w:val="auto"/>
        </w:rPr>
        <w:t>Lock-up Agreements</w:t>
      </w:r>
      <w:r>
        <w:rPr>
          <w:rFonts w:ascii="Arial" w:cs="Arial" w:eastAsia="Arial" w:hAnsi="Arial"/>
          <w:sz w:val="19"/>
          <w:szCs w:val="19"/>
          <w:color w:val="auto"/>
        </w:rPr>
        <w:t>”), shall be in full force and effect on the Closing Date.</w:t>
      </w:r>
    </w:p>
    <w:p>
      <w:pPr>
        <w:spacing w:after="0" w:line="88" w:lineRule="exact"/>
        <w:rPr>
          <w:rFonts w:ascii="Arial" w:cs="Arial" w:eastAsia="Arial" w:hAnsi="Arial"/>
          <w:sz w:val="19"/>
          <w:szCs w:val="19"/>
          <w:color w:val="auto"/>
        </w:rPr>
      </w:pPr>
    </w:p>
    <w:p>
      <w:pPr>
        <w:ind w:left="660" w:right="80" w:firstLine="968"/>
        <w:spacing w:after="0" w:line="263" w:lineRule="auto"/>
        <w:tabs>
          <w:tab w:leader="none" w:pos="209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Firm Shares and Additional Shares, if any, shall have been approved for listing on the Nasdaq Stock Market, subject to official notice of issuance.</w:t>
      </w:r>
    </w:p>
    <w:p>
      <w:pPr>
        <w:spacing w:after="0" w:line="120" w:lineRule="exact"/>
        <w:rPr>
          <w:rFonts w:ascii="Arial" w:cs="Arial" w:eastAsia="Arial" w:hAnsi="Arial"/>
          <w:sz w:val="22"/>
          <w:szCs w:val="22"/>
          <w:color w:val="auto"/>
        </w:rPr>
      </w:pPr>
    </w:p>
    <w:p>
      <w:pPr>
        <w:ind w:left="660" w:right="320" w:firstLine="968"/>
        <w:spacing w:after="0" w:line="263" w:lineRule="auto"/>
        <w:tabs>
          <w:tab w:leader="none" w:pos="2048"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several obligations of the Underwriters to purchase Additional Shares hereunder are subject to the delivery to the Representatives on the applicable Option Closing Date of the following:</w:t>
      </w:r>
    </w:p>
    <w:p>
      <w:pPr>
        <w:spacing w:after="0" w:line="120" w:lineRule="exact"/>
        <w:rPr>
          <w:rFonts w:ascii="Arial" w:cs="Arial" w:eastAsia="Arial" w:hAnsi="Arial"/>
          <w:sz w:val="22"/>
          <w:szCs w:val="22"/>
          <w:color w:val="auto"/>
        </w:rPr>
      </w:pPr>
    </w:p>
    <w:p>
      <w:pPr>
        <w:ind w:left="1300" w:right="100" w:firstLine="1138"/>
        <w:spacing w:after="0" w:line="253" w:lineRule="auto"/>
        <w:tabs>
          <w:tab w:leader="none" w:pos="2854" w:val="left"/>
        </w:tabs>
        <w:numPr>
          <w:ilvl w:val="1"/>
          <w:numId w:val="150"/>
        </w:numPr>
        <w:rPr>
          <w:rFonts w:ascii="Arial" w:cs="Arial" w:eastAsia="Arial" w:hAnsi="Arial"/>
          <w:sz w:val="22"/>
          <w:szCs w:val="22"/>
          <w:color w:val="auto"/>
        </w:rPr>
      </w:pPr>
      <w:r>
        <w:rPr>
          <w:rFonts w:ascii="Arial" w:cs="Arial" w:eastAsia="Arial" w:hAnsi="Arial"/>
          <w:sz w:val="22"/>
          <w:szCs w:val="22"/>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131" w:lineRule="exact"/>
        <w:rPr>
          <w:rFonts w:ascii="Arial" w:cs="Arial" w:eastAsia="Arial" w:hAnsi="Arial"/>
          <w:sz w:val="22"/>
          <w:szCs w:val="22"/>
          <w:color w:val="auto"/>
        </w:rPr>
      </w:pPr>
    </w:p>
    <w:p>
      <w:pPr>
        <w:ind w:left="1300" w:firstLine="1138"/>
        <w:spacing w:after="0" w:line="253" w:lineRule="auto"/>
        <w:tabs>
          <w:tab w:leader="none" w:pos="2914" w:val="left"/>
        </w:tabs>
        <w:numPr>
          <w:ilvl w:val="1"/>
          <w:numId w:val="150"/>
        </w:numPr>
        <w:rPr>
          <w:rFonts w:ascii="Arial" w:cs="Arial" w:eastAsia="Arial" w:hAnsi="Arial"/>
          <w:sz w:val="22"/>
          <w:szCs w:val="22"/>
          <w:color w:val="auto"/>
        </w:rPr>
      </w:pPr>
      <w:r>
        <w:rPr>
          <w:rFonts w:ascii="Arial" w:cs="Arial" w:eastAsia="Arial" w:hAnsi="Arial"/>
          <w:sz w:val="22"/>
          <w:szCs w:val="22"/>
          <w:color w:val="auto"/>
        </w:rPr>
        <w:t>an opinion and negative assurance letter of Cooley LLP, outside counsel for the Company, dated the Option Closing Date, relating to the Additional Shares to be purchased on such Option Closing Date and otherwise to the same effect as the opinion required by Section 5(c)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28" w:right="359" w:bottom="1440" w:gutter="0" w:footer="0" w:header="0"/>
        </w:sectPr>
      </w:pPr>
    </w:p>
    <w:bookmarkStart w:id="221" w:name="page222"/>
    <w:bookmarkEnd w:id="221"/>
    <w:p>
      <w:pPr>
        <w:ind w:left="482" w:right="320" w:firstLine="1138"/>
        <w:spacing w:after="0" w:line="250" w:lineRule="auto"/>
        <w:tabs>
          <w:tab w:leader="none" w:pos="2156" w:val="left"/>
        </w:tabs>
        <w:numPr>
          <w:ilvl w:val="2"/>
          <w:numId w:val="151"/>
        </w:numPr>
        <w:rPr>
          <w:rFonts w:ascii="Arial" w:cs="Arial" w:eastAsia="Arial" w:hAnsi="Arial"/>
          <w:sz w:val="22"/>
          <w:szCs w:val="22"/>
          <w:color w:val="auto"/>
        </w:rPr>
      </w:pPr>
      <w:r>
        <w:rPr>
          <w:rFonts w:ascii="Arial" w:cs="Arial" w:eastAsia="Arial" w:hAnsi="Arial"/>
          <w:sz w:val="22"/>
          <w:szCs w:val="22"/>
          <w:color w:val="auto"/>
        </w:rPr>
        <w:t>an opinion and negative assurance letter of Latham &amp; Watkins LLP, counsel for the Underwriters, dated the Option Closing Date, relating to the Additional Shares to be purchased on such Option Closing Date and otherwise to the same effect as the opinion and negative assurance letter required by Section 5(d) hereof;</w:t>
      </w:r>
    </w:p>
    <w:p>
      <w:pPr>
        <w:spacing w:after="0" w:line="133" w:lineRule="exact"/>
        <w:rPr>
          <w:rFonts w:ascii="Arial" w:cs="Arial" w:eastAsia="Arial" w:hAnsi="Arial"/>
          <w:sz w:val="22"/>
          <w:szCs w:val="22"/>
          <w:color w:val="auto"/>
        </w:rPr>
      </w:pPr>
    </w:p>
    <w:p>
      <w:pPr>
        <w:ind w:left="482" w:right="120" w:firstLine="1138"/>
        <w:spacing w:after="0" w:line="248" w:lineRule="auto"/>
        <w:tabs>
          <w:tab w:leader="none" w:pos="2144" w:val="left"/>
        </w:tabs>
        <w:numPr>
          <w:ilvl w:val="2"/>
          <w:numId w:val="151"/>
        </w:numPr>
        <w:rPr>
          <w:rFonts w:ascii="Arial" w:cs="Arial" w:eastAsia="Arial" w:hAnsi="Arial"/>
          <w:sz w:val="22"/>
          <w:szCs w:val="22"/>
          <w:color w:val="auto"/>
        </w:rPr>
      </w:pPr>
      <w:r>
        <w:rPr>
          <w:rFonts w:ascii="Arial" w:cs="Arial" w:eastAsia="Arial" w:hAnsi="Arial"/>
          <w:sz w:val="22"/>
          <w:szCs w:val="22"/>
          <w:color w:val="auto"/>
        </w:rPr>
        <w:t xml:space="preserve">a letter dated the Option Closing Date, in form and substance reasonably satisfactory to the Underwriters, from Deloitte, independent public accountants, substantially in the same form and substance as the letter furnished to the Underwriters pursuant to Section 5(e) 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letter delivered on the Option Closing Date shall use a “cut-off date” not earlier than two business days prior to such Option Closing Date;</w:t>
      </w:r>
    </w:p>
    <w:p>
      <w:pPr>
        <w:spacing w:after="0" w:line="137" w:lineRule="exact"/>
        <w:rPr>
          <w:rFonts w:ascii="Arial" w:cs="Arial" w:eastAsia="Arial" w:hAnsi="Arial"/>
          <w:sz w:val="22"/>
          <w:szCs w:val="22"/>
          <w:color w:val="auto"/>
        </w:rPr>
      </w:pPr>
    </w:p>
    <w:p>
      <w:pPr>
        <w:ind w:left="482" w:right="240" w:firstLine="1138"/>
        <w:spacing w:after="0" w:line="253" w:lineRule="auto"/>
        <w:tabs>
          <w:tab w:leader="none" w:pos="2084" w:val="left"/>
        </w:tabs>
        <w:numPr>
          <w:ilvl w:val="2"/>
          <w:numId w:val="151"/>
        </w:numPr>
        <w:rPr>
          <w:rFonts w:ascii="Arial" w:cs="Arial" w:eastAsia="Arial" w:hAnsi="Arial"/>
          <w:sz w:val="22"/>
          <w:szCs w:val="22"/>
          <w:color w:val="auto"/>
        </w:rPr>
      </w:pPr>
      <w:r>
        <w:rPr>
          <w:rFonts w:ascii="Arial" w:cs="Arial" w:eastAsia="Arial" w:hAnsi="Arial"/>
          <w:sz w:val="22"/>
          <w:szCs w:val="22"/>
          <w:color w:val="auto"/>
        </w:rPr>
        <w:t>a Chief Financial Officer’s certificate, dated the Option Closing Date and signed on behalf of the Company by the Chief Financial Officer of the Company, in the same form and substance as the certificate required by Section 5(f) hereof; and</w:t>
      </w:r>
    </w:p>
    <w:p>
      <w:pPr>
        <w:spacing w:after="0" w:line="131" w:lineRule="exact"/>
        <w:rPr>
          <w:rFonts w:ascii="Arial" w:cs="Arial" w:eastAsia="Arial" w:hAnsi="Arial"/>
          <w:sz w:val="22"/>
          <w:szCs w:val="22"/>
          <w:color w:val="auto"/>
        </w:rPr>
      </w:pPr>
    </w:p>
    <w:p>
      <w:pPr>
        <w:jc w:val="both"/>
        <w:ind w:left="482" w:right="160" w:firstLine="1138"/>
        <w:spacing w:after="0" w:line="271" w:lineRule="auto"/>
        <w:tabs>
          <w:tab w:leader="none" w:pos="2144" w:val="left"/>
        </w:tabs>
        <w:numPr>
          <w:ilvl w:val="2"/>
          <w:numId w:val="151"/>
        </w:numPr>
        <w:rPr>
          <w:rFonts w:ascii="Arial" w:cs="Arial" w:eastAsia="Arial" w:hAnsi="Arial"/>
          <w:sz w:val="21"/>
          <w:szCs w:val="21"/>
          <w:color w:val="auto"/>
        </w:rPr>
      </w:pPr>
      <w:r>
        <w:rPr>
          <w:rFonts w:ascii="Arial" w:cs="Arial" w:eastAsia="Arial" w:hAnsi="Arial"/>
          <w:sz w:val="21"/>
          <w:szCs w:val="21"/>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13" w:lineRule="exact"/>
        <w:rPr>
          <w:rFonts w:ascii="Arial" w:cs="Arial" w:eastAsia="Arial" w:hAnsi="Arial"/>
          <w:sz w:val="21"/>
          <w:szCs w:val="21"/>
          <w:color w:val="auto"/>
        </w:rPr>
      </w:pPr>
    </w:p>
    <w:p>
      <w:pPr>
        <w:ind w:left="382" w:hanging="382"/>
        <w:spacing w:after="0"/>
        <w:tabs>
          <w:tab w:leader="none" w:pos="382" w:val="left"/>
        </w:tabs>
        <w:numPr>
          <w:ilvl w:val="0"/>
          <w:numId w:val="152"/>
        </w:numPr>
        <w:rPr>
          <w:rFonts w:ascii="Arial" w:cs="Arial" w:eastAsia="Arial" w:hAnsi="Arial"/>
          <w:sz w:val="22"/>
          <w:szCs w:val="22"/>
          <w:color w:val="auto"/>
        </w:rPr>
      </w:pPr>
      <w:r>
        <w:rPr>
          <w:rFonts w:ascii="Arial" w:cs="Arial" w:eastAsia="Arial" w:hAnsi="Arial"/>
          <w:sz w:val="22"/>
          <w:szCs w:val="22"/>
          <w:i w:val="1"/>
          <w:iCs w:val="1"/>
          <w:color w:val="auto"/>
        </w:rPr>
        <w:t>Covenants of the Company</w:t>
      </w:r>
      <w:r>
        <w:rPr>
          <w:rFonts w:ascii="Arial" w:cs="Arial" w:eastAsia="Arial" w:hAnsi="Arial"/>
          <w:sz w:val="22"/>
          <w:szCs w:val="22"/>
          <w:color w:val="auto"/>
        </w:rPr>
        <w:t>. The Company covenants with each Underwriter as follows:</w:t>
      </w:r>
    </w:p>
    <w:p>
      <w:pPr>
        <w:spacing w:after="0" w:line="165" w:lineRule="exact"/>
        <w:rPr>
          <w:rFonts w:ascii="Arial" w:cs="Arial" w:eastAsia="Arial" w:hAnsi="Arial"/>
          <w:sz w:val="22"/>
          <w:szCs w:val="22"/>
          <w:color w:val="auto"/>
        </w:rPr>
      </w:pPr>
    </w:p>
    <w:p>
      <w:pPr>
        <w:ind w:left="-158" w:firstLine="968"/>
        <w:spacing w:after="0" w:line="246" w:lineRule="auto"/>
        <w:tabs>
          <w:tab w:leader="none" w:pos="1266"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To furnish to the Representatives, without charge, nine (9) conformed copies of the Registration Statement (including exhibits thereto) (which may be an electronic facsimile)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142" w:lineRule="exact"/>
        <w:rPr>
          <w:rFonts w:ascii="Arial" w:cs="Arial" w:eastAsia="Arial" w:hAnsi="Arial"/>
          <w:sz w:val="22"/>
          <w:szCs w:val="22"/>
          <w:color w:val="auto"/>
        </w:rPr>
      </w:pPr>
    </w:p>
    <w:p>
      <w:pPr>
        <w:ind w:left="-158" w:right="100" w:firstLine="968"/>
        <w:spacing w:after="0" w:line="248" w:lineRule="auto"/>
        <w:tabs>
          <w:tab w:leader="none" w:pos="1282" w:val="left"/>
        </w:tabs>
        <w:numPr>
          <w:ilvl w:val="1"/>
          <w:numId w:val="152"/>
        </w:numPr>
        <w:rPr>
          <w:rFonts w:ascii="Arial" w:cs="Arial" w:eastAsia="Arial" w:hAnsi="Arial"/>
          <w:sz w:val="22"/>
          <w:szCs w:val="22"/>
          <w:color w:val="auto"/>
        </w:rPr>
      </w:pPr>
      <w:r>
        <w:rPr>
          <w:rFonts w:ascii="Arial" w:cs="Arial" w:eastAsia="Arial" w:hAnsi="Arial"/>
          <w:sz w:val="22"/>
          <w:szCs w:val="22"/>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137" w:lineRule="exact"/>
        <w:rPr>
          <w:rFonts w:ascii="Arial" w:cs="Arial" w:eastAsia="Arial" w:hAnsi="Arial"/>
          <w:sz w:val="22"/>
          <w:szCs w:val="22"/>
          <w:color w:val="auto"/>
        </w:rPr>
      </w:pPr>
    </w:p>
    <w:p>
      <w:pPr>
        <w:jc w:val="both"/>
        <w:ind w:left="-158" w:firstLine="968"/>
        <w:spacing w:after="0" w:line="253" w:lineRule="auto"/>
        <w:tabs>
          <w:tab w:leader="none" w:pos="1266"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702"/>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382"/>
          </w:cols>
          <w:pgMar w:left="1138" w:top="1428" w:right="379" w:bottom="1440" w:gutter="0" w:footer="0" w:header="0"/>
        </w:sectPr>
      </w:pPr>
    </w:p>
    <w:bookmarkStart w:id="222" w:name="page223"/>
    <w:bookmarkEnd w:id="222"/>
    <w:p>
      <w:pPr>
        <w:ind w:left="-460" w:right="60" w:firstLine="968"/>
        <w:spacing w:after="0" w:line="271" w:lineRule="auto"/>
        <w:tabs>
          <w:tab w:leader="none" w:pos="98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13" w:lineRule="exact"/>
        <w:rPr>
          <w:rFonts w:ascii="Arial" w:cs="Arial" w:eastAsia="Arial" w:hAnsi="Arial"/>
          <w:sz w:val="21"/>
          <w:szCs w:val="21"/>
          <w:color w:val="auto"/>
        </w:rPr>
      </w:pPr>
    </w:p>
    <w:p>
      <w:pPr>
        <w:ind w:left="-460" w:firstLine="968"/>
        <w:spacing w:after="0" w:line="287" w:lineRule="auto"/>
        <w:tabs>
          <w:tab w:leader="none" w:pos="96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04" w:lineRule="exact"/>
        <w:rPr>
          <w:rFonts w:ascii="Arial" w:cs="Arial" w:eastAsia="Arial" w:hAnsi="Arial"/>
          <w:sz w:val="19"/>
          <w:szCs w:val="19"/>
          <w:color w:val="auto"/>
        </w:rPr>
      </w:pPr>
    </w:p>
    <w:p>
      <w:pPr>
        <w:ind w:left="-460" w:right="80" w:firstLine="968"/>
        <w:spacing w:after="0" w:line="286" w:lineRule="auto"/>
        <w:tabs>
          <w:tab w:leader="none" w:pos="94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If, during such period after the first date of the public offering of the Shares as in the reasonable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reasonable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11" w:lineRule="exact"/>
        <w:rPr>
          <w:rFonts w:ascii="Arial" w:cs="Arial" w:eastAsia="Arial" w:hAnsi="Arial"/>
          <w:sz w:val="19"/>
          <w:szCs w:val="19"/>
          <w:color w:val="auto"/>
        </w:rPr>
      </w:pPr>
    </w:p>
    <w:p>
      <w:pPr>
        <w:ind w:left="-460" w:right="600" w:firstLine="968"/>
        <w:spacing w:after="0" w:line="312" w:lineRule="auto"/>
        <w:tabs>
          <w:tab w:leader="none" w:pos="97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To endeavor to qualify the Shares for offer and sale under the securities or Blue Sky laws of such jurisdictions as the Representatives shall reasonably request, provided, however, that nothing contained herein shall require the Company to qualify to do business in any jurisdiction, to execute or file a general consent to service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20"/>
          </w:cols>
          <w:pgMar w:left="1440" w:top="1428" w:right="339" w:bottom="1440" w:gutter="0" w:footer="0" w:header="0"/>
        </w:sectPr>
      </w:pPr>
    </w:p>
    <w:bookmarkStart w:id="223" w:name="page224"/>
    <w:bookmarkEnd w:id="223"/>
    <w:p>
      <w:pPr>
        <w:ind w:left="4"/>
        <w:spacing w:after="0"/>
        <w:rPr>
          <w:sz w:val="20"/>
          <w:szCs w:val="20"/>
          <w:color w:val="auto"/>
        </w:rPr>
      </w:pPr>
      <w:r>
        <w:rPr>
          <w:rFonts w:ascii="Arial" w:cs="Arial" w:eastAsia="Arial" w:hAnsi="Arial"/>
          <w:sz w:val="22"/>
          <w:szCs w:val="22"/>
          <w:color w:val="auto"/>
        </w:rPr>
        <w:t>process in any jurisdiction or to subject itself to taxation in any jurisdiction in which it is not otherwise subject.</w:t>
      </w:r>
    </w:p>
    <w:p>
      <w:pPr>
        <w:spacing w:after="0" w:line="166" w:lineRule="exact"/>
        <w:rPr>
          <w:sz w:val="20"/>
          <w:szCs w:val="20"/>
          <w:color w:val="auto"/>
        </w:rPr>
      </w:pPr>
    </w:p>
    <w:p>
      <w:pPr>
        <w:ind w:left="4" w:right="120" w:firstLine="968"/>
        <w:spacing w:after="0" w:line="297" w:lineRule="auto"/>
        <w:tabs>
          <w:tab w:leader="none" w:pos="144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To make generally available (which may be satisfied by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92" w:lineRule="exact"/>
        <w:rPr>
          <w:rFonts w:ascii="Arial" w:cs="Arial" w:eastAsia="Arial" w:hAnsi="Arial"/>
          <w:sz w:val="19"/>
          <w:szCs w:val="19"/>
          <w:color w:val="auto"/>
        </w:rPr>
      </w:pPr>
    </w:p>
    <w:p>
      <w:pPr>
        <w:ind w:left="4" w:firstLine="968"/>
        <w:spacing w:after="0" w:line="282" w:lineRule="auto"/>
        <w:tabs>
          <w:tab w:leader="none" w:pos="1392" w:val="left"/>
        </w:tabs>
        <w:numPr>
          <w:ilvl w:val="1"/>
          <w:numId w:val="154"/>
        </w:numPr>
        <w:rPr>
          <w:rFonts w:ascii="Arial" w:cs="Arial" w:eastAsia="Arial" w:hAnsi="Arial"/>
          <w:sz w:val="19"/>
          <w:szCs w:val="19"/>
          <w:color w:val="auto"/>
        </w:rPr>
      </w:pPr>
      <w:r>
        <w:rPr>
          <w:rFonts w:ascii="Arial" w:cs="Arial" w:eastAsia="Arial" w:hAnsi="Arial"/>
          <w:sz w:val="19"/>
          <w:szCs w:val="19"/>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reasonably inccured and documented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reasonably inccured and documented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FINRA (provided that the amount payable by the Company with respect to fees and disbursements of counsel for the Underwriters pursuant to subsections (iii) and</w:t>
      </w:r>
    </w:p>
    <w:p>
      <w:pPr>
        <w:spacing w:after="0" w:line="14" w:lineRule="exact"/>
        <w:rPr>
          <w:rFonts w:ascii="Arial" w:cs="Arial" w:eastAsia="Arial" w:hAnsi="Arial"/>
          <w:sz w:val="19"/>
          <w:szCs w:val="19"/>
          <w:color w:val="auto"/>
        </w:rPr>
      </w:pPr>
    </w:p>
    <w:p>
      <w:pPr>
        <w:ind w:left="4" w:right="180" w:hanging="4"/>
        <w:spacing w:after="0" w:line="287" w:lineRule="auto"/>
        <w:tabs>
          <w:tab w:leader="none" w:pos="37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shall not exceed $45,000 in the aggregate), (v) all fees and expenses in connection with the preparation and filing of the registration statement on Form 8-A relating to the Common Stock and all costs and expenses incident to listing the Shares on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(with the Underwriters agreeing to pay all costs and expenses related to their participation in investor presentation on any “road show” undertaken in connection with the marketing of the offering of the Shares and 100% of the cost of aircraft chartered in connection with the “road show”, if any), including, without limitation,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584"/>
          </w:cols>
          <w:pgMar w:left="976" w:top="1428" w:right="339" w:bottom="1440" w:gutter="0" w:footer="0" w:header="0"/>
        </w:sectPr>
      </w:pPr>
    </w:p>
    <w:bookmarkStart w:id="224" w:name="page225"/>
    <w:bookmarkEnd w:id="224"/>
    <w:p>
      <w:pPr>
        <w:ind w:left="660" w:right="140"/>
        <w:spacing w:after="0" w:line="287" w:lineRule="auto"/>
        <w:rPr>
          <w:sz w:val="20"/>
          <w:szCs w:val="20"/>
          <w:color w:val="auto"/>
        </w:rPr>
      </w:pPr>
      <w:r>
        <w:rPr>
          <w:rFonts w:ascii="Arial" w:cs="Arial" w:eastAsia="Arial" w:hAnsi="Arial"/>
          <w:sz w:val="19"/>
          <w:szCs w:val="19"/>
          <w:color w:val="auto"/>
        </w:rPr>
        <w:t>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(ix) the document production charges and expenses associated with printing this Agreement and (x) all other costs and expenses incident to the performance of the obligations of the Company hereunder for which provision is not otherwise made in this Section 6(i). It is understood, however, that except as provided in this Section, Section 8 titled “Indemnity and Contribution” and the last paragraph of Section 10 below, the Underwriters will pay all of their costs and expenses, including fees and disbursements of their counsel, stock transfer taxes payable on resale of any of the Shares by them, any advertising expenses connected with any offers they may make, all travel and other expenses of the Underwriters or any of their employees incurred by them in connection with participation in investor presentations on any “road show” undertaken in connection with the marketing of the offering of the Shares.</w:t>
      </w:r>
    </w:p>
    <w:p>
      <w:pPr>
        <w:spacing w:after="0" w:line="109" w:lineRule="exact"/>
        <w:rPr>
          <w:sz w:val="20"/>
          <w:szCs w:val="20"/>
          <w:color w:val="auto"/>
        </w:rPr>
      </w:pPr>
    </w:p>
    <w:p>
      <w:pPr>
        <w:ind w:left="660" w:right="60" w:firstLine="968"/>
        <w:spacing w:after="0" w:line="271" w:lineRule="auto"/>
        <w:tabs>
          <w:tab w:leader="none" w:pos="2048"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113" w:lineRule="exact"/>
        <w:rPr>
          <w:rFonts w:ascii="Arial" w:cs="Arial" w:eastAsia="Arial" w:hAnsi="Arial"/>
          <w:sz w:val="21"/>
          <w:szCs w:val="21"/>
          <w:color w:val="auto"/>
        </w:rPr>
      </w:pPr>
    </w:p>
    <w:p>
      <w:pPr>
        <w:ind w:left="660" w:right="20" w:firstLine="968"/>
        <w:spacing w:after="0" w:line="260" w:lineRule="auto"/>
        <w:tabs>
          <w:tab w:leader="none" w:pos="210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126" w:lineRule="exact"/>
        <w:rPr>
          <w:rFonts w:ascii="Arial" w:cs="Arial" w:eastAsia="Arial" w:hAnsi="Arial"/>
          <w:sz w:val="21"/>
          <w:szCs w:val="21"/>
          <w:color w:val="auto"/>
        </w:rPr>
      </w:pPr>
    </w:p>
    <w:p>
      <w:pPr>
        <w:jc w:val="both"/>
        <w:ind w:left="660" w:right="140" w:firstLine="968"/>
        <w:spacing w:after="0" w:line="302" w:lineRule="auto"/>
        <w:tabs>
          <w:tab w:leader="none" w:pos="204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88"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Company also covenants with each Underwriter that, without the prior written consent of Morgan Stanley &amp; Co. LLC and KeyBanc Capital Markets Inc. on behalf of the Underwriters, it will not, and will not publicly disclose an intention to, during the period ending 180 days after the date of the Prospectus (the “</w:t>
      </w:r>
      <w:r>
        <w:rPr>
          <w:rFonts w:ascii="Arial" w:cs="Arial" w:eastAsia="Arial" w:hAnsi="Arial"/>
          <w:sz w:val="19"/>
          <w:szCs w:val="19"/>
          <w:b w:val="1"/>
          <w:bCs w:val="1"/>
          <w:color w:val="auto"/>
        </w:rPr>
        <w:t>Restricted Period</w:t>
      </w:r>
      <w:r>
        <w:rPr>
          <w:rFonts w:ascii="Arial" w:cs="Arial" w:eastAsia="Arial" w:hAnsi="Arial"/>
          <w:sz w:val="19"/>
          <w:szCs w:val="19"/>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225" w:name="page226"/>
    <w:bookmarkEnd w:id="225"/>
    <w:p>
      <w:pPr>
        <w:ind w:right="20"/>
        <w:spacing w:after="0" w:line="291" w:lineRule="auto"/>
        <w:rPr>
          <w:sz w:val="20"/>
          <w:szCs w:val="20"/>
          <w:color w:val="auto"/>
        </w:rPr>
      </w:pPr>
      <w:r>
        <w:rPr>
          <w:rFonts w:ascii="Arial" w:cs="Arial" w:eastAsia="Arial" w:hAnsi="Arial"/>
          <w:sz w:val="19"/>
          <w:szCs w:val="19"/>
          <w:color w:val="auto"/>
        </w:rPr>
        <w:t>another, in whole or in part, any of the economic consequences of ownership of the Common Stock, whether any such transaction described in clause (1) or (2) above is to be settled by delivery of Common Stock or such other securities, in cash or otherwise or</w:t>
      </w:r>
    </w:p>
    <w:p>
      <w:pPr>
        <w:spacing w:after="0" w:line="1" w:lineRule="exact"/>
        <w:rPr>
          <w:sz w:val="20"/>
          <w:szCs w:val="20"/>
          <w:color w:val="auto"/>
        </w:rPr>
      </w:pPr>
    </w:p>
    <w:p>
      <w:pPr>
        <w:ind w:right="140" w:firstLine="8"/>
        <w:spacing w:after="0" w:line="246" w:lineRule="auto"/>
        <w:tabs>
          <w:tab w:leader="none" w:pos="30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file any registration statement with the Commission relating to the offering of any shares of Common Stock or any securities convertible into or exercisable or exchangeable for Common Stock.</w:t>
      </w:r>
    </w:p>
    <w:p>
      <w:pPr>
        <w:spacing w:after="0" w:line="138" w:lineRule="exact"/>
        <w:rPr>
          <w:sz w:val="20"/>
          <w:szCs w:val="20"/>
          <w:color w:val="auto"/>
        </w:rPr>
      </w:pPr>
    </w:p>
    <w:p>
      <w:pPr>
        <w:ind w:right="20" w:firstLine="648"/>
        <w:spacing w:after="0" w:line="283" w:lineRule="auto"/>
        <w:rPr>
          <w:sz w:val="20"/>
          <w:szCs w:val="20"/>
          <w:color w:val="auto"/>
        </w:rPr>
      </w:pPr>
      <w:r>
        <w:rPr>
          <w:rFonts w:ascii="Arial" w:cs="Arial" w:eastAsia="Arial" w:hAnsi="Arial"/>
          <w:sz w:val="19"/>
          <w:szCs w:val="19"/>
          <w:color w:val="auto"/>
        </w:rPr>
        <w:t>The restrictions contained in the preceding paragraph shall not apply to (A) the Shares to be sold hereunder, (B) the issuance by the Company of shares of Common Stock upon the exercise of an option or warrant, the settlement of restricted stock units or stock appreciation rights, or the conversion of a security outstanding on the date hereof as described in each of the Time of Sale Prospectus and Prospectus, (C) grants of stock options, stock awards, restricted stock, restricted stock units or other equity awards and the issuance of Common Stock or securities convertible into or exercisable for Common Stock (whether upon the exercise of stock options or otherwise) to employees, officers, directors, advisors, or consultants of the Company pursuant to the terms of a plan in effect on the date hereof and described in the Time of Sale Prospectus and the Prospectus provided that, prior to the issuance of any such shares or the grant of any such options or restricted stock units, the Company shall cause each recipient of such grant or issuance to execute and deliver a “lock-up” agreement, substantially in the form of Exhibit A hereto,</w:t>
      </w:r>
    </w:p>
    <w:p>
      <w:pPr>
        <w:spacing w:after="0" w:line="8" w:lineRule="exact"/>
        <w:rPr>
          <w:sz w:val="20"/>
          <w:szCs w:val="20"/>
          <w:color w:val="auto"/>
        </w:rPr>
      </w:pPr>
    </w:p>
    <w:p>
      <w:pPr>
        <w:ind w:firstLine="8"/>
        <w:spacing w:after="0" w:line="284" w:lineRule="auto"/>
        <w:tabs>
          <w:tab w:leader="none" w:pos="354"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the sale or issuance of or entry into an agreement providing for the sale or issuance of Common Stock or securities convertible into, exercisable for or which are otherwise exchangeable for or represent the right to receive Common Stock in connection with (x) the acquisition by the Company or any of its subsidiaries of the securities, business, technology, property or other assets of another person or entity or pursuant to an employee benefit plan assumed by the Company in connection with such acquisition, and the issuance of any Common Stock or securities convertible into, exercisable for or which are otherwise exchangeable for or represent the right to receive Common Stock pursuant to any such agreement or (y) the Company’s joint ventures, commercial relationships and other strategic transactions, provided that the aggregate number of shares of Common Stock, securities convertible into, exercisable for or which are otherwise exchangeable for or represent the right to receive Common Stock that the Company may sell or issue or agree to sell or issue pursuant to this clause (D) shall not exceed 10% of the total number of shares of Common Stock outstanding as of the Closing Date immediately following the completion of the transactions contemplated by this Agreement to be completed as of that date and all recipients of any such securities shall enter into a lock-up letter substantially in the form of Exhibit A covering the remainder of the Restricted Period, (E) the filing of any registration statement on Form S-8 relating to securities granted or to be granted pursuant to any plan in effect on the date hereof and described in the Time of Sale Prospectus and Prospectus or any assumed benefit plan contemplated by clause (D), and (F) facilitating the establishment of a trading plan on behalf of a stockholder, officer or director of the Company pursuant to Rule 10b5-1 under the Exchange Act for the transfer of shares of Common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226" w:name="page227"/>
    <w:bookmarkEnd w:id="226"/>
    <w:p>
      <w:pPr>
        <w:ind w:firstLine="648"/>
        <w:spacing w:after="0" w:line="294" w:lineRule="auto"/>
        <w:rPr>
          <w:sz w:val="20"/>
          <w:szCs w:val="20"/>
          <w:color w:val="auto"/>
        </w:rPr>
      </w:pPr>
      <w:r>
        <w:rPr>
          <w:rFonts w:ascii="Arial" w:cs="Arial" w:eastAsia="Arial" w:hAnsi="Arial"/>
          <w:sz w:val="19"/>
          <w:szCs w:val="19"/>
          <w:color w:val="auto"/>
        </w:rPr>
        <w:t>If Morgan Stanley &amp; Co. LLC and KeyBanc Capital Markets Inc., in their sole discretion, agree to release or waive the restrictions on the transfer of Shares set forth in a Lock-up Agreement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or any other method that satisfies the obligations described in FINRA Rule 5131(d)(2) at least two business days before the effective date of the release or waiver.</w:t>
      </w:r>
    </w:p>
    <w:p>
      <w:pPr>
        <w:spacing w:after="0" w:line="95" w:lineRule="exact"/>
        <w:rPr>
          <w:sz w:val="20"/>
          <w:szCs w:val="20"/>
          <w:color w:val="auto"/>
        </w:rPr>
      </w:pPr>
    </w:p>
    <w:p>
      <w:pPr>
        <w:ind w:right="120" w:firstLine="818"/>
        <w:spacing w:after="0" w:line="265" w:lineRule="auto"/>
        <w:tabs>
          <w:tab w:leader="none" w:pos="1188" w:val="left"/>
        </w:tabs>
        <w:numPr>
          <w:ilvl w:val="0"/>
          <w:numId w:val="159"/>
        </w:numPr>
        <w:rPr>
          <w:rFonts w:ascii="Arial" w:cs="Arial" w:eastAsia="Arial" w:hAnsi="Arial"/>
          <w:sz w:val="21"/>
          <w:szCs w:val="21"/>
          <w:color w:val="auto"/>
        </w:rPr>
      </w:pPr>
      <w:r>
        <w:rPr>
          <w:rFonts w:ascii="Arial" w:cs="Arial" w:eastAsia="Arial" w:hAnsi="Arial"/>
          <w:sz w:val="21"/>
          <w:szCs w:val="21"/>
          <w:i w:val="1"/>
          <w:iCs w:val="1"/>
          <w:color w:val="auto"/>
        </w:rPr>
        <w:t>Covenants of the Underwriters</w:t>
      </w:r>
      <w:r>
        <w:rPr>
          <w:rFonts w:ascii="Arial" w:cs="Arial" w:eastAsia="Arial" w:hAnsi="Arial"/>
          <w:sz w:val="21"/>
          <w:szCs w:val="21"/>
          <w:color w:val="auto"/>
        </w:rPr>
        <w:t>. Each Underwriter, severally and not jointly, covenants with the Company not to</w:t>
      </w:r>
      <w:r>
        <w:rPr>
          <w:rFonts w:ascii="Arial" w:cs="Arial" w:eastAsia="Arial" w:hAnsi="Arial"/>
          <w:sz w:val="21"/>
          <w:szCs w:val="21"/>
          <w:i w:val="1"/>
          <w:iCs w:val="1"/>
          <w:color w:val="auto"/>
        </w:rPr>
        <w:t xml:space="preserve"> </w:t>
      </w:r>
      <w:r>
        <w:rPr>
          <w:rFonts w:ascii="Arial" w:cs="Arial" w:eastAsia="Arial" w:hAnsi="Arial"/>
          <w:sz w:val="21"/>
          <w:szCs w:val="21"/>
          <w:color w:val="auto"/>
        </w:rPr>
        <w:t>take any action that would result in the Company being required to file with the Commission under Rule 433(d) of the Securities Act a free writing prospectus prepared by, on behalf of or used by such Underwriter that otherwise would not be required to be filed by the Company thereunder, but for the action of the Underwriter.</w:t>
      </w:r>
    </w:p>
    <w:p>
      <w:pPr>
        <w:spacing w:after="0" w:line="121" w:lineRule="exact"/>
        <w:rPr>
          <w:rFonts w:ascii="Arial" w:cs="Arial" w:eastAsia="Arial" w:hAnsi="Arial"/>
          <w:sz w:val="21"/>
          <w:szCs w:val="21"/>
          <w:color w:val="auto"/>
        </w:rPr>
      </w:pPr>
    </w:p>
    <w:p>
      <w:pPr>
        <w:ind w:firstLine="818"/>
        <w:spacing w:after="0" w:line="285" w:lineRule="auto"/>
        <w:tabs>
          <w:tab w:leader="none" w:pos="1188" w:val="left"/>
        </w:tabs>
        <w:numPr>
          <w:ilvl w:val="0"/>
          <w:numId w:val="159"/>
        </w:numPr>
        <w:rPr>
          <w:rFonts w:ascii="Arial" w:cs="Arial" w:eastAsia="Arial" w:hAnsi="Arial"/>
          <w:sz w:val="19"/>
          <w:szCs w:val="19"/>
          <w:color w:val="auto"/>
        </w:rPr>
      </w:pPr>
      <w:r>
        <w:rPr>
          <w:rFonts w:ascii="Arial" w:cs="Arial" w:eastAsia="Arial" w:hAnsi="Arial"/>
          <w:sz w:val="19"/>
          <w:szCs w:val="19"/>
          <w:i w:val="1"/>
          <w:iCs w:val="1"/>
          <w:color w:val="auto"/>
        </w:rPr>
        <w:t xml:space="preserve">Indemnity and Contribution. </w:t>
      </w:r>
      <w:r>
        <w:rPr>
          <w:rFonts w:ascii="Arial" w:cs="Arial" w:eastAsia="Arial" w:hAnsi="Arial"/>
          <w:sz w:val="19"/>
          <w:szCs w:val="19"/>
          <w:color w:val="auto"/>
        </w:rPr>
        <w:t>(a) The Company agrees to indemnify and hold harmless each Underwriter, each</w:t>
      </w:r>
      <w:r>
        <w:rPr>
          <w:rFonts w:ascii="Arial" w:cs="Arial" w:eastAsia="Arial" w:hAnsi="Arial"/>
          <w:sz w:val="19"/>
          <w:szCs w:val="19"/>
          <w:i w:val="1"/>
          <w:iCs w:val="1"/>
          <w:color w:val="auto"/>
        </w:rPr>
        <w:t xml:space="preserve"> </w:t>
      </w:r>
      <w:r>
        <w:rPr>
          <w:rFonts w:ascii="Arial" w:cs="Arial" w:eastAsia="Arial" w:hAnsi="Arial"/>
          <w:sz w:val="19"/>
          <w:szCs w:val="19"/>
          <w:color w:val="auto"/>
        </w:rPr>
        <w:t>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 The Company agrees and confirms that references to “affiliates” of Morgan Stanley &amp; Co. LLC that appear in this Agreement shall be understood to include Mitsubishi UFJ Morgan Stanley Securities Co., Ltd.</w:t>
      </w:r>
    </w:p>
    <w:p>
      <w:pPr>
        <w:spacing w:after="0" w:line="354" w:lineRule="exact"/>
        <w:rPr>
          <w:rFonts w:ascii="Arial" w:cs="Arial" w:eastAsia="Arial" w:hAnsi="Arial"/>
          <w:sz w:val="19"/>
          <w:szCs w:val="19"/>
          <w:color w:val="auto"/>
        </w:rPr>
      </w:pPr>
    </w:p>
    <w:p>
      <w:pPr>
        <w:ind w:left="660" w:right="160" w:firstLine="968"/>
        <w:spacing w:after="0" w:line="226" w:lineRule="auto"/>
        <w:tabs>
          <w:tab w:leader="none" w:pos="210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227" w:name="page228"/>
    <w:bookmarkEnd w:id="227"/>
    <w:p>
      <w:pPr>
        <w:ind w:right="140"/>
        <w:spacing w:after="0" w:line="260" w:lineRule="auto"/>
        <w:rPr>
          <w:sz w:val="20"/>
          <w:szCs w:val="20"/>
          <w:color w:val="auto"/>
        </w:rPr>
      </w:pPr>
      <w:r>
        <w:rPr>
          <w:rFonts w:ascii="Arial" w:cs="Arial" w:eastAsia="Arial" w:hAnsi="Arial"/>
          <w:sz w:val="19"/>
          <w:szCs w:val="19"/>
          <w:color w:val="auto"/>
        </w:rPr>
        <w:t>Underwriter through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shall be the first, fifth, seventh, ninth and eleventh sentences in paragraph fifteen in the “Underwriters” section of the Registration Statement.</w:t>
      </w:r>
    </w:p>
    <w:p>
      <w:pPr>
        <w:spacing w:after="0" w:line="3" w:lineRule="exact"/>
        <w:rPr>
          <w:sz w:val="20"/>
          <w:szCs w:val="20"/>
          <w:color w:val="auto"/>
        </w:rPr>
      </w:pPr>
    </w:p>
    <w:p>
      <w:pPr>
        <w:ind w:firstLine="968"/>
        <w:spacing w:after="0" w:line="281" w:lineRule="auto"/>
        <w:tabs>
          <w:tab w:leader="none" w:pos="142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9"/>
          <w:szCs w:val="19"/>
          <w:b w:val="1"/>
          <w:bCs w:val="1"/>
          <w:color w:val="auto"/>
        </w:rPr>
        <w:t>indemnified</w:t>
      </w:r>
      <w:r>
        <w:rPr>
          <w:rFonts w:ascii="Arial" w:cs="Arial" w:eastAsia="Arial" w:hAnsi="Arial"/>
          <w:sz w:val="19"/>
          <w:szCs w:val="19"/>
          <w:color w:val="auto"/>
        </w:rPr>
        <w:t xml:space="preserve"> </w:t>
      </w:r>
      <w:r>
        <w:rPr>
          <w:rFonts w:ascii="Arial" w:cs="Arial" w:eastAsia="Arial" w:hAnsi="Arial"/>
          <w:sz w:val="19"/>
          <w:szCs w:val="19"/>
          <w:b w:val="1"/>
          <w:bCs w:val="1"/>
          <w:color w:val="auto"/>
        </w:rPr>
        <w:t>party</w:t>
      </w:r>
      <w:r>
        <w:rPr>
          <w:rFonts w:ascii="Arial" w:cs="Arial" w:eastAsia="Arial" w:hAnsi="Arial"/>
          <w:sz w:val="19"/>
          <w:szCs w:val="19"/>
          <w:color w:val="auto"/>
        </w:rPr>
        <w:t>”) shall promptly notify the person against whom such indemnity may be sought (the “</w:t>
      </w:r>
      <w:r>
        <w:rPr>
          <w:rFonts w:ascii="Arial" w:cs="Arial" w:eastAsia="Arial" w:hAnsi="Arial"/>
          <w:sz w:val="19"/>
          <w:szCs w:val="19"/>
          <w:b w:val="1"/>
          <w:bCs w:val="1"/>
          <w:color w:val="auto"/>
        </w:rPr>
        <w:t>indemnifying party</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w:t>
      </w:r>
    </w:p>
    <w:p>
      <w:pPr>
        <w:spacing w:after="0" w:line="10" w:lineRule="exact"/>
        <w:rPr>
          <w:rFonts w:ascii="Arial" w:cs="Arial" w:eastAsia="Arial" w:hAnsi="Arial"/>
          <w:sz w:val="19"/>
          <w:szCs w:val="19"/>
          <w:color w:val="auto"/>
        </w:rPr>
      </w:pPr>
    </w:p>
    <w:p>
      <w:pPr>
        <w:spacing w:after="0" w:line="285" w:lineRule="auto"/>
        <w:rPr>
          <w:rFonts w:ascii="Arial" w:cs="Arial" w:eastAsia="Arial" w:hAnsi="Arial"/>
          <w:sz w:val="19"/>
          <w:szCs w:val="19"/>
          <w:color w:val="auto"/>
        </w:rPr>
      </w:pPr>
      <w:r>
        <w:rPr>
          <w:rFonts w:ascii="Arial" w:cs="Arial" w:eastAsia="Arial" w:hAnsi="Arial"/>
          <w:sz w:val="19"/>
          <w:szCs w:val="19"/>
          <w:color w:val="auto"/>
        </w:rPr>
        <w:t>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580"/>
          </w:cols>
          <w:pgMar w:left="980" w:top="1414" w:right="339" w:bottom="1440" w:gutter="0" w:footer="0" w:header="0"/>
        </w:sectPr>
      </w:pPr>
    </w:p>
    <w:bookmarkStart w:id="228" w:name="page229"/>
    <w:bookmarkEnd w:id="228"/>
    <w:p>
      <w:pPr>
        <w:ind w:left="-460" w:firstLine="968"/>
        <w:spacing w:after="0" w:line="285" w:lineRule="auto"/>
        <w:tabs>
          <w:tab w:leader="none" w:pos="97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362" w:lineRule="exact"/>
        <w:rPr>
          <w:rFonts w:ascii="Arial" w:cs="Arial" w:eastAsia="Arial" w:hAnsi="Arial"/>
          <w:sz w:val="19"/>
          <w:szCs w:val="19"/>
          <w:color w:val="auto"/>
        </w:rPr>
      </w:pPr>
    </w:p>
    <w:p>
      <w:pPr>
        <w:ind w:left="-460" w:right="40" w:firstLine="968"/>
        <w:spacing w:after="0" w:line="287" w:lineRule="auto"/>
        <w:tabs>
          <w:tab w:leader="none" w:pos="96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The Company and the Underwriters agree that it would not be just or equitable if contribution pursuant to this Section 8 were determined by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120"/>
          </w:cols>
          <w:pgMar w:left="1440" w:top="1428" w:right="339" w:bottom="1440" w:gutter="0" w:footer="0" w:header="0"/>
        </w:sectPr>
      </w:pPr>
    </w:p>
    <w:bookmarkStart w:id="229" w:name="page230"/>
    <w:bookmarkEnd w:id="229"/>
    <w:p>
      <w:pPr>
        <w:ind w:left="660" w:right="680"/>
        <w:spacing w:after="0" w:line="263" w:lineRule="auto"/>
        <w:rPr>
          <w:sz w:val="20"/>
          <w:szCs w:val="20"/>
          <w:color w:val="auto"/>
        </w:rPr>
      </w:pPr>
      <w:r>
        <w:rPr>
          <w:rFonts w:ascii="Arial" w:cs="Arial" w:eastAsia="Arial" w:hAnsi="Arial"/>
          <w:sz w:val="22"/>
          <w:szCs w:val="22"/>
          <w:color w:val="auto"/>
        </w:rPr>
        <w:t>this Section 8 are not exclusive and shall not limit any rights or remedies which may otherwise be available to any indemnified party at law or in equity.</w:t>
      </w:r>
    </w:p>
    <w:p>
      <w:pPr>
        <w:spacing w:after="0" w:line="121" w:lineRule="exact"/>
        <w:rPr>
          <w:sz w:val="20"/>
          <w:szCs w:val="20"/>
          <w:color w:val="auto"/>
        </w:rPr>
      </w:pPr>
    </w:p>
    <w:p>
      <w:pPr>
        <w:ind w:left="660" w:right="60" w:firstLine="968"/>
        <w:spacing w:after="0" w:line="297" w:lineRule="auto"/>
        <w:tabs>
          <w:tab w:leader="none" w:pos="206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92" w:lineRule="exact"/>
        <w:rPr>
          <w:rFonts w:ascii="Arial" w:cs="Arial" w:eastAsia="Arial" w:hAnsi="Arial"/>
          <w:sz w:val="19"/>
          <w:szCs w:val="19"/>
          <w:color w:val="auto"/>
        </w:rPr>
      </w:pPr>
    </w:p>
    <w:p>
      <w:pPr>
        <w:ind w:right="100" w:firstLine="818"/>
        <w:spacing w:after="0" w:line="257" w:lineRule="auto"/>
        <w:tabs>
          <w:tab w:leader="none" w:pos="1188" w:val="left"/>
        </w:tabs>
        <w:numPr>
          <w:ilvl w:val="0"/>
          <w:numId w:val="163"/>
        </w:numPr>
        <w:rPr>
          <w:rFonts w:ascii="Arial" w:cs="Arial" w:eastAsia="Arial" w:hAnsi="Arial"/>
          <w:sz w:val="21"/>
          <w:szCs w:val="21"/>
          <w:color w:val="auto"/>
        </w:rPr>
      </w:pPr>
      <w:r>
        <w:rPr>
          <w:rFonts w:ascii="Arial" w:cs="Arial" w:eastAsia="Arial" w:hAnsi="Arial"/>
          <w:sz w:val="21"/>
          <w:szCs w:val="21"/>
          <w:i w:val="1"/>
          <w:iCs w:val="1"/>
          <w:color w:val="auto"/>
        </w:rPr>
        <w:t>Termination</w:t>
      </w:r>
      <w:r>
        <w:rPr>
          <w:rFonts w:ascii="Arial" w:cs="Arial" w:eastAsia="Arial" w:hAnsi="Arial"/>
          <w:sz w:val="21"/>
          <w:szCs w:val="21"/>
          <w:color w:val="auto"/>
        </w:rPr>
        <w:t>. The Underwriters may terminate this Agreement by notice given by the Representatives to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if after the execution and delivery of this Agreement and prior to or on the Closing Date or any Option Closing Date, as the case may be, (i) trading generally shall have been suspended or materially limited on, or by, as the case may be, any of the New York Stock Exchange, the NYSE American, the NASDAQ Global Market, the Chicago Board of Options Exchange, the Chicago Mercantile Exchange or the Chicago Board of Trade, (ii) trading of any securities of the Company shall have been suspended on any exchange or in any over-the-counter market which shall not include secondary markets for privately held companies,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34" w:lineRule="exact"/>
        <w:rPr>
          <w:rFonts w:ascii="Arial" w:cs="Arial" w:eastAsia="Arial" w:hAnsi="Arial"/>
          <w:sz w:val="21"/>
          <w:szCs w:val="21"/>
          <w:color w:val="auto"/>
        </w:rPr>
      </w:pPr>
    </w:p>
    <w:p>
      <w:pPr>
        <w:ind w:right="200" w:firstLine="818"/>
        <w:spacing w:after="0" w:line="263" w:lineRule="auto"/>
        <w:tabs>
          <w:tab w:leader="none" w:pos="1296" w:val="left"/>
        </w:tabs>
        <w:numPr>
          <w:ilvl w:val="0"/>
          <w:numId w:val="163"/>
        </w:numPr>
        <w:rPr>
          <w:rFonts w:ascii="Arial" w:cs="Arial" w:eastAsia="Arial" w:hAnsi="Arial"/>
          <w:sz w:val="22"/>
          <w:szCs w:val="22"/>
          <w:color w:val="auto"/>
        </w:rPr>
      </w:pPr>
      <w:r>
        <w:rPr>
          <w:rFonts w:ascii="Arial" w:cs="Arial" w:eastAsia="Arial" w:hAnsi="Arial"/>
          <w:sz w:val="22"/>
          <w:szCs w:val="22"/>
          <w:i w:val="1"/>
          <w:iCs w:val="1"/>
          <w:color w:val="auto"/>
        </w:rPr>
        <w:t>Effectiveness; Defaulting Underwriters</w:t>
      </w:r>
      <w:r>
        <w:rPr>
          <w:rFonts w:ascii="Arial" w:cs="Arial" w:eastAsia="Arial" w:hAnsi="Arial"/>
          <w:sz w:val="22"/>
          <w:szCs w:val="22"/>
          <w:color w:val="auto"/>
        </w:rPr>
        <w:t>. This Agreement shall become effective upon the execution and delivery</w:t>
      </w:r>
      <w:r>
        <w:rPr>
          <w:rFonts w:ascii="Arial" w:cs="Arial" w:eastAsia="Arial" w:hAnsi="Arial"/>
          <w:sz w:val="22"/>
          <w:szCs w:val="22"/>
          <w:i w:val="1"/>
          <w:iCs w:val="1"/>
          <w:color w:val="auto"/>
        </w:rPr>
        <w:t xml:space="preserve"> </w:t>
      </w:r>
      <w:r>
        <w:rPr>
          <w:rFonts w:ascii="Arial" w:cs="Arial" w:eastAsia="Arial" w:hAnsi="Arial"/>
          <w:sz w:val="22"/>
          <w:szCs w:val="22"/>
          <w:color w:val="auto"/>
        </w:rPr>
        <w:t>hereof by the parties hereto.</w:t>
      </w:r>
    </w:p>
    <w:p>
      <w:pPr>
        <w:spacing w:after="0" w:line="121"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the number of Shares 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Firm Shares and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20"/>
          </w:cols>
          <w:pgMar w:left="320" w:top="1428" w:right="359" w:bottom="1440" w:gutter="0" w:footer="0" w:header="0"/>
        </w:sectPr>
      </w:pPr>
    </w:p>
    <w:bookmarkStart w:id="230" w:name="page231"/>
    <w:bookmarkEnd w:id="230"/>
    <w:p>
      <w:pPr>
        <w:spacing w:after="0" w:line="286" w:lineRule="auto"/>
        <w:rPr>
          <w:sz w:val="20"/>
          <w:szCs w:val="20"/>
          <w:color w:val="auto"/>
        </w:rPr>
      </w:pPr>
      <w:r>
        <w:rPr>
          <w:rFonts w:ascii="Arial" w:cs="Arial" w:eastAsia="Arial" w:hAnsi="Arial"/>
          <w:sz w:val="19"/>
          <w:szCs w:val="19"/>
          <w:color w:val="auto"/>
        </w:rPr>
        <w:t>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12" w:lineRule="exact"/>
        <w:rPr>
          <w:sz w:val="20"/>
          <w:szCs w:val="20"/>
          <w:color w:val="auto"/>
        </w:rPr>
      </w:pPr>
    </w:p>
    <w:p>
      <w:pPr>
        <w:ind w:right="100" w:firstLine="648"/>
        <w:spacing w:after="0" w:line="260" w:lineRule="auto"/>
        <w:rPr>
          <w:sz w:val="20"/>
          <w:szCs w:val="20"/>
          <w:color w:val="auto"/>
        </w:rPr>
      </w:pPr>
      <w:r>
        <w:rPr>
          <w:rFonts w:ascii="Arial" w:cs="Arial" w:eastAsia="Arial" w:hAnsi="Arial"/>
          <w:sz w:val="21"/>
          <w:szCs w:val="21"/>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or the occurrence of any of the events described in clauses (i), (iii), (iv) or (v) of Section 9),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26" w:lineRule="exact"/>
        <w:rPr>
          <w:sz w:val="20"/>
          <w:szCs w:val="20"/>
          <w:color w:val="auto"/>
        </w:rPr>
      </w:pPr>
    </w:p>
    <w:p>
      <w:pPr>
        <w:ind w:right="20" w:firstLine="818"/>
        <w:spacing w:after="0" w:line="302" w:lineRule="auto"/>
        <w:tabs>
          <w:tab w:leader="none" w:pos="1288" w:val="left"/>
        </w:tabs>
        <w:numPr>
          <w:ilvl w:val="0"/>
          <w:numId w:val="164"/>
        </w:numPr>
        <w:rPr>
          <w:rFonts w:ascii="Arial" w:cs="Arial" w:eastAsia="Arial" w:hAnsi="Arial"/>
          <w:sz w:val="19"/>
          <w:szCs w:val="19"/>
          <w:color w:val="auto"/>
        </w:rPr>
      </w:pPr>
      <w:r>
        <w:rPr>
          <w:rFonts w:ascii="Arial" w:cs="Arial" w:eastAsia="Arial" w:hAnsi="Arial"/>
          <w:sz w:val="19"/>
          <w:szCs w:val="19"/>
          <w:i w:val="1"/>
          <w:iCs w:val="1"/>
          <w:color w:val="auto"/>
        </w:rPr>
        <w:t>Entire Agreement</w:t>
      </w:r>
      <w:r>
        <w:rPr>
          <w:rFonts w:ascii="Arial" w:cs="Arial" w:eastAsia="Arial" w:hAnsi="Arial"/>
          <w:sz w:val="19"/>
          <w:szCs w:val="19"/>
          <w:color w:val="auto"/>
        </w:rPr>
        <w:t>. (a) This Agreement, together with any contemporaneous written agreements and any prior</w:t>
      </w:r>
      <w:r>
        <w:rPr>
          <w:rFonts w:ascii="Arial" w:cs="Arial" w:eastAsia="Arial" w:hAnsi="Arial"/>
          <w:sz w:val="19"/>
          <w:szCs w:val="19"/>
          <w:i w:val="1"/>
          <w:iCs w:val="1"/>
          <w:color w:val="auto"/>
        </w:rPr>
        <w:t xml:space="preserve"> </w:t>
      </w:r>
      <w:r>
        <w:rPr>
          <w:rFonts w:ascii="Arial" w:cs="Arial" w:eastAsia="Arial" w:hAnsi="Arial"/>
          <w:sz w:val="19"/>
          <w:szCs w:val="19"/>
          <w:color w:val="auto"/>
        </w:rPr>
        <w:t>written agreements (to 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88" w:lineRule="exact"/>
        <w:rPr>
          <w:rFonts w:ascii="Arial" w:cs="Arial" w:eastAsia="Arial" w:hAnsi="Arial"/>
          <w:sz w:val="19"/>
          <w:szCs w:val="19"/>
          <w:color w:val="auto"/>
        </w:rPr>
      </w:pPr>
    </w:p>
    <w:p>
      <w:pPr>
        <w:ind w:left="660" w:right="40" w:firstLine="968"/>
        <w:spacing w:after="0" w:line="259" w:lineRule="auto"/>
        <w:tabs>
          <w:tab w:leader="none" w:pos="2096" w:val="left"/>
        </w:tabs>
        <w:numPr>
          <w:ilvl w:val="1"/>
          <w:numId w:val="164"/>
        </w:numPr>
        <w:rPr>
          <w:rFonts w:ascii="Arial" w:cs="Arial" w:eastAsia="Arial" w:hAnsi="Arial"/>
          <w:sz w:val="21"/>
          <w:szCs w:val="21"/>
          <w:color w:val="auto"/>
        </w:rPr>
      </w:pPr>
      <w:r>
        <w:rPr>
          <w:rFonts w:ascii="Arial" w:cs="Arial" w:eastAsia="Arial" w:hAnsi="Arial"/>
          <w:sz w:val="21"/>
          <w:szCs w:val="21"/>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20"/>
          </w:cols>
          <w:pgMar w:left="320" w:top="1428" w:right="359" w:bottom="1440" w:gutter="0" w:footer="0" w:header="0"/>
        </w:sectPr>
      </w:pPr>
    </w:p>
    <w:bookmarkStart w:id="231" w:name="page232"/>
    <w:bookmarkEnd w:id="231"/>
    <w:p>
      <w:pPr>
        <w:ind w:left="660" w:right="200"/>
        <w:spacing w:after="0" w:line="263" w:lineRule="auto"/>
        <w:rPr>
          <w:sz w:val="20"/>
          <w:szCs w:val="20"/>
          <w:color w:val="auto"/>
        </w:rPr>
      </w:pPr>
      <w:r>
        <w:rPr>
          <w:rFonts w:ascii="Arial" w:cs="Arial" w:eastAsia="Arial" w:hAnsi="Arial"/>
          <w:sz w:val="22"/>
          <w:szCs w:val="22"/>
          <w:color w:val="auto"/>
        </w:rPr>
        <w:t>law any claims it may have against the Underwriters arising from an alleged breach of fiduciary duty in connection with the offering of the Shares.</w:t>
      </w:r>
    </w:p>
    <w:p>
      <w:pPr>
        <w:spacing w:after="0" w:line="121" w:lineRule="exact"/>
        <w:rPr>
          <w:sz w:val="20"/>
          <w:szCs w:val="20"/>
          <w:color w:val="auto"/>
        </w:rPr>
      </w:pPr>
    </w:p>
    <w:p>
      <w:pPr>
        <w:jc w:val="both"/>
        <w:ind w:right="100" w:firstLine="818"/>
        <w:spacing w:after="0" w:line="248" w:lineRule="auto"/>
        <w:tabs>
          <w:tab w:leader="none" w:pos="1296" w:val="left"/>
        </w:tabs>
        <w:numPr>
          <w:ilvl w:val="0"/>
          <w:numId w:val="165"/>
        </w:numPr>
        <w:rPr>
          <w:rFonts w:ascii="Arial" w:cs="Arial" w:eastAsia="Arial" w:hAnsi="Arial"/>
          <w:sz w:val="22"/>
          <w:szCs w:val="22"/>
          <w:color w:val="auto"/>
        </w:rPr>
      </w:pPr>
      <w:r>
        <w:rPr>
          <w:rFonts w:ascii="Arial" w:cs="Arial" w:eastAsia="Arial" w:hAnsi="Arial"/>
          <w:sz w:val="22"/>
          <w:szCs w:val="22"/>
          <w:i w:val="1"/>
          <w:iCs w:val="1"/>
          <w:color w:val="auto"/>
        </w:rPr>
        <w:t>Recognition of the U.S. Special Resolution Regimes</w:t>
      </w:r>
      <w:r>
        <w:rPr>
          <w:rFonts w:ascii="Arial" w:cs="Arial" w:eastAsia="Arial" w:hAnsi="Arial"/>
          <w:sz w:val="22"/>
          <w:szCs w:val="22"/>
          <w:color w:val="auto"/>
        </w:rPr>
        <w:t>. (a) In the event that any Underwriter that is a Covered Entity</w:t>
      </w:r>
      <w:r>
        <w:rPr>
          <w:rFonts w:ascii="Arial" w:cs="Arial" w:eastAsia="Arial" w:hAnsi="Arial"/>
          <w:sz w:val="22"/>
          <w:szCs w:val="22"/>
          <w:i w:val="1"/>
          <w:iCs w:val="1"/>
          <w:color w:val="auto"/>
        </w:rPr>
        <w:t xml:space="preserve"> </w:t>
      </w:r>
      <w:r>
        <w:rPr>
          <w:rFonts w:ascii="Arial" w:cs="Arial" w:eastAsia="Arial" w:hAnsi="Arial"/>
          <w:sz w:val="22"/>
          <w:szCs w:val="22"/>
          <w:color w:val="auto"/>
        </w:rPr>
        <w:t>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37" w:lineRule="exact"/>
        <w:rPr>
          <w:rFonts w:ascii="Arial" w:cs="Arial" w:eastAsia="Arial" w:hAnsi="Arial"/>
          <w:sz w:val="22"/>
          <w:szCs w:val="22"/>
          <w:color w:val="auto"/>
        </w:rPr>
      </w:pPr>
    </w:p>
    <w:p>
      <w:pPr>
        <w:ind w:left="660" w:right="20" w:firstLine="968"/>
        <w:spacing w:after="0" w:line="248" w:lineRule="auto"/>
        <w:tabs>
          <w:tab w:leader="none" w:pos="210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32" w:lineRule="exact"/>
        <w:rPr>
          <w:sz w:val="20"/>
          <w:szCs w:val="20"/>
          <w:color w:val="auto"/>
        </w:rPr>
      </w:pPr>
    </w:p>
    <w:p>
      <w:pPr>
        <w:ind w:right="60" w:firstLine="648"/>
        <w:spacing w:after="0" w:line="291" w:lineRule="auto"/>
        <w:rPr>
          <w:sz w:val="20"/>
          <w:szCs w:val="20"/>
          <w:color w:val="auto"/>
        </w:rPr>
      </w:pPr>
      <w:r>
        <w:rPr>
          <w:rFonts w:ascii="Arial" w:cs="Arial" w:eastAsia="Arial" w:hAnsi="Arial"/>
          <w:sz w:val="19"/>
          <w:szCs w:val="19"/>
          <w:color w:val="auto"/>
        </w:rPr>
        <w:t>For purposes of this Section a “</w:t>
      </w:r>
      <w:r>
        <w:rPr>
          <w:rFonts w:ascii="Arial" w:cs="Arial" w:eastAsia="Arial" w:hAnsi="Arial"/>
          <w:sz w:val="19"/>
          <w:szCs w:val="19"/>
          <w:b w:val="1"/>
          <w:bCs w:val="1"/>
          <w:color w:val="auto"/>
        </w:rPr>
        <w:t>BHC Act Affiliate</w:t>
      </w:r>
      <w:r>
        <w:rPr>
          <w:rFonts w:ascii="Arial" w:cs="Arial" w:eastAsia="Arial" w:hAnsi="Arial"/>
          <w:sz w:val="19"/>
          <w:szCs w:val="19"/>
          <w:color w:val="auto"/>
        </w:rPr>
        <w:t>” has the meaning assigned to the term “affiliate” in, and shall be interpreted in accordance with, 12 U.S.C. § 1841(k). “</w:t>
      </w:r>
      <w:r>
        <w:rPr>
          <w:rFonts w:ascii="Arial" w:cs="Arial" w:eastAsia="Arial" w:hAnsi="Arial"/>
          <w:sz w:val="19"/>
          <w:szCs w:val="19"/>
          <w:b w:val="1"/>
          <w:bCs w:val="1"/>
          <w:color w:val="auto"/>
        </w:rPr>
        <w:t>Covered Entity</w:t>
      </w:r>
      <w:r>
        <w:rPr>
          <w:rFonts w:ascii="Arial" w:cs="Arial" w:eastAsia="Arial" w:hAnsi="Arial"/>
          <w:sz w:val="19"/>
          <w:szCs w:val="19"/>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9"/>
          <w:szCs w:val="19"/>
          <w:b w:val="1"/>
          <w:bCs w:val="1"/>
          <w:color w:val="auto"/>
        </w:rPr>
        <w:t>Default Right</w:t>
      </w:r>
      <w:r>
        <w:rPr>
          <w:rFonts w:ascii="Arial" w:cs="Arial" w:eastAsia="Arial" w:hAnsi="Arial"/>
          <w:sz w:val="19"/>
          <w:szCs w:val="19"/>
          <w:color w:val="auto"/>
        </w:rPr>
        <w:t>” has the meaning assigned to that term in, and shall be interpreted in accordance with, 12 C.F.R. §§ 252.81, 47.2 or 382.1, as applicable. “</w:t>
      </w:r>
      <w:r>
        <w:rPr>
          <w:rFonts w:ascii="Arial" w:cs="Arial" w:eastAsia="Arial" w:hAnsi="Arial"/>
          <w:sz w:val="19"/>
          <w:szCs w:val="19"/>
          <w:b w:val="1"/>
          <w:bCs w:val="1"/>
          <w:color w:val="auto"/>
        </w:rPr>
        <w:t>U.S. Special Resolution Regime</w:t>
      </w:r>
      <w:r>
        <w:rPr>
          <w:rFonts w:ascii="Arial" w:cs="Arial" w:eastAsia="Arial" w:hAnsi="Arial"/>
          <w:sz w:val="19"/>
          <w:szCs w:val="19"/>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01" w:lineRule="exact"/>
        <w:rPr>
          <w:sz w:val="20"/>
          <w:szCs w:val="20"/>
          <w:color w:val="auto"/>
        </w:rPr>
      </w:pPr>
    </w:p>
    <w:p>
      <w:pPr>
        <w:ind w:firstLine="818"/>
        <w:spacing w:after="0" w:line="247" w:lineRule="auto"/>
        <w:tabs>
          <w:tab w:leader="none" w:pos="1296" w:val="left"/>
        </w:tabs>
        <w:numPr>
          <w:ilvl w:val="0"/>
          <w:numId w:val="166"/>
        </w:numPr>
        <w:rPr>
          <w:rFonts w:ascii="Arial" w:cs="Arial" w:eastAsia="Arial" w:hAnsi="Arial"/>
          <w:sz w:val="22"/>
          <w:szCs w:val="22"/>
          <w:color w:val="auto"/>
        </w:rPr>
      </w:pPr>
      <w:r>
        <w:rPr>
          <w:rFonts w:ascii="Arial" w:cs="Arial" w:eastAsia="Arial" w:hAnsi="Arial"/>
          <w:sz w:val="22"/>
          <w:szCs w:val="22"/>
          <w:i w:val="1"/>
          <w:iCs w:val="1"/>
          <w:color w:val="auto"/>
        </w:rPr>
        <w:t>Counterparts</w:t>
      </w:r>
      <w:r>
        <w:rPr>
          <w:rFonts w:ascii="Arial" w:cs="Arial" w:eastAsia="Arial" w:hAnsi="Arial"/>
          <w:sz w:val="22"/>
          <w:szCs w:val="22"/>
          <w:color w:val="auto"/>
        </w:rPr>
        <w:t>. This Agreement may be signed in two or more counterparts, each of which shall be an original, with</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same effect as if the signatures thereto and hereto were upon the same instrument. Counterparts may be delivered via facsimile, electronic mail (including any electronic signature complying with the U.S. federal ESIGN Act of 2000, Uniform Electronic Transactions Act, the Electronic Signatures and Records Act or other applicable law, </w:t>
      </w:r>
      <w:r>
        <w:rPr>
          <w:rFonts w:ascii="Arial" w:cs="Arial" w:eastAsia="Arial" w:hAnsi="Arial"/>
          <w:sz w:val="22"/>
          <w:szCs w:val="22"/>
          <w:i w:val="1"/>
          <w:iCs w:val="1"/>
          <w:color w:val="auto"/>
        </w:rPr>
        <w:t>e.g.</w:t>
      </w:r>
      <w:r>
        <w:rPr>
          <w:rFonts w:ascii="Arial" w:cs="Arial" w:eastAsia="Arial" w:hAnsi="Arial"/>
          <w:sz w:val="22"/>
          <w:szCs w:val="22"/>
          <w:color w:val="auto"/>
        </w:rPr>
        <w:t>, www.docusign.com) or other transmission method and any counterpart so delivered shall be deemed to have been duly and validly delivered and be valid and effective for all purposes.</w:t>
      </w:r>
    </w:p>
    <w:p>
      <w:pPr>
        <w:spacing w:after="0" w:line="138" w:lineRule="exact"/>
        <w:rPr>
          <w:rFonts w:ascii="Arial" w:cs="Arial" w:eastAsia="Arial" w:hAnsi="Arial"/>
          <w:sz w:val="22"/>
          <w:szCs w:val="22"/>
          <w:color w:val="auto"/>
        </w:rPr>
      </w:pPr>
    </w:p>
    <w:p>
      <w:pPr>
        <w:ind w:right="240" w:firstLine="818"/>
        <w:spacing w:after="0" w:line="263" w:lineRule="auto"/>
        <w:tabs>
          <w:tab w:leader="none" w:pos="1296" w:val="left"/>
        </w:tabs>
        <w:numPr>
          <w:ilvl w:val="0"/>
          <w:numId w:val="166"/>
        </w:numPr>
        <w:rPr>
          <w:rFonts w:ascii="Arial" w:cs="Arial" w:eastAsia="Arial" w:hAnsi="Arial"/>
          <w:sz w:val="22"/>
          <w:szCs w:val="22"/>
          <w:color w:val="auto"/>
        </w:rPr>
      </w:pPr>
      <w:r>
        <w:rPr>
          <w:rFonts w:ascii="Arial" w:cs="Arial" w:eastAsia="Arial" w:hAnsi="Arial"/>
          <w:sz w:val="22"/>
          <w:szCs w:val="22"/>
          <w:i w:val="1"/>
          <w:iCs w:val="1"/>
          <w:color w:val="auto"/>
        </w:rPr>
        <w:t>Applicable Law</w:t>
      </w:r>
      <w:r>
        <w:rPr>
          <w:rFonts w:ascii="Arial" w:cs="Arial" w:eastAsia="Arial" w:hAnsi="Arial"/>
          <w:sz w:val="22"/>
          <w:szCs w:val="22"/>
          <w:color w:val="auto"/>
        </w:rPr>
        <w:t>. This Agreement shall be governed by and construed in accordance with the internal laws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State of New York.</w:t>
      </w:r>
    </w:p>
    <w:p>
      <w:pPr>
        <w:spacing w:after="0" w:line="120" w:lineRule="exact"/>
        <w:rPr>
          <w:rFonts w:ascii="Arial" w:cs="Arial" w:eastAsia="Arial" w:hAnsi="Arial"/>
          <w:sz w:val="22"/>
          <w:szCs w:val="22"/>
          <w:color w:val="auto"/>
        </w:rPr>
      </w:pPr>
    </w:p>
    <w:p>
      <w:pPr>
        <w:ind w:right="300" w:firstLine="818"/>
        <w:spacing w:after="0" w:line="263" w:lineRule="auto"/>
        <w:tabs>
          <w:tab w:leader="none" w:pos="1296" w:val="left"/>
        </w:tabs>
        <w:numPr>
          <w:ilvl w:val="0"/>
          <w:numId w:val="166"/>
        </w:numPr>
        <w:rPr>
          <w:rFonts w:ascii="Arial" w:cs="Arial" w:eastAsia="Arial" w:hAnsi="Arial"/>
          <w:sz w:val="22"/>
          <w:szCs w:val="22"/>
          <w:color w:val="auto"/>
        </w:rPr>
      </w:pPr>
      <w:r>
        <w:rPr>
          <w:rFonts w:ascii="Arial" w:cs="Arial" w:eastAsia="Arial" w:hAnsi="Arial"/>
          <w:sz w:val="22"/>
          <w:szCs w:val="22"/>
          <w:i w:val="1"/>
          <w:iCs w:val="1"/>
          <w:color w:val="auto"/>
        </w:rPr>
        <w:t>Headings</w:t>
      </w:r>
      <w:r>
        <w:rPr>
          <w:rFonts w:ascii="Arial" w:cs="Arial" w:eastAsia="Arial" w:hAnsi="Arial"/>
          <w:sz w:val="22"/>
          <w:szCs w:val="22"/>
          <w:color w:val="auto"/>
        </w:rPr>
        <w:t>. The headings of the sections of this Agreement have been inserted for convenience of reference only</w:t>
      </w:r>
      <w:r>
        <w:rPr>
          <w:rFonts w:ascii="Arial" w:cs="Arial" w:eastAsia="Arial" w:hAnsi="Arial"/>
          <w:sz w:val="22"/>
          <w:szCs w:val="22"/>
          <w:i w:val="1"/>
          <w:iCs w:val="1"/>
          <w:color w:val="auto"/>
        </w:rPr>
        <w:t xml:space="preserve"> </w:t>
      </w:r>
      <w:r>
        <w:rPr>
          <w:rFonts w:ascii="Arial" w:cs="Arial" w:eastAsia="Arial" w:hAnsi="Arial"/>
          <w:sz w:val="22"/>
          <w:szCs w:val="22"/>
          <w:color w:val="auto"/>
        </w:rPr>
        <w:t>and shall not be deemed a part of this Agreement.</w:t>
      </w:r>
    </w:p>
    <w:p>
      <w:pPr>
        <w:spacing w:after="0" w:line="120" w:lineRule="exact"/>
        <w:rPr>
          <w:rFonts w:ascii="Arial" w:cs="Arial" w:eastAsia="Arial" w:hAnsi="Arial"/>
          <w:sz w:val="22"/>
          <w:szCs w:val="22"/>
          <w:color w:val="auto"/>
        </w:rPr>
      </w:pPr>
    </w:p>
    <w:p>
      <w:pPr>
        <w:ind w:right="380" w:firstLine="818"/>
        <w:spacing w:after="0" w:line="253" w:lineRule="auto"/>
        <w:tabs>
          <w:tab w:leader="none" w:pos="1296" w:val="left"/>
        </w:tabs>
        <w:numPr>
          <w:ilvl w:val="0"/>
          <w:numId w:val="166"/>
        </w:numPr>
        <w:rPr>
          <w:rFonts w:ascii="Arial" w:cs="Arial" w:eastAsia="Arial" w:hAnsi="Arial"/>
          <w:sz w:val="22"/>
          <w:szCs w:val="22"/>
          <w:color w:val="auto"/>
        </w:rPr>
      </w:pPr>
      <w:r>
        <w:rPr>
          <w:rFonts w:ascii="Arial" w:cs="Arial" w:eastAsia="Arial" w:hAnsi="Arial"/>
          <w:sz w:val="22"/>
          <w:szCs w:val="22"/>
          <w:i w:val="1"/>
          <w:iCs w:val="1"/>
          <w:color w:val="auto"/>
        </w:rPr>
        <w:t>Notices</w:t>
      </w:r>
      <w:r>
        <w:rPr>
          <w:rFonts w:ascii="Arial" w:cs="Arial" w:eastAsia="Arial" w:hAnsi="Arial"/>
          <w:sz w:val="22"/>
          <w:szCs w:val="22"/>
          <w:color w:val="auto"/>
        </w:rPr>
        <w:t>. All communications hereunder shall be in writing and effective only upon receipt and if to the</w:t>
      </w:r>
      <w:r>
        <w:rPr>
          <w:rFonts w:ascii="Arial" w:cs="Arial" w:eastAsia="Arial" w:hAnsi="Arial"/>
          <w:sz w:val="22"/>
          <w:szCs w:val="22"/>
          <w:i w:val="1"/>
          <w:iCs w:val="1"/>
          <w:color w:val="auto"/>
        </w:rPr>
        <w:t xml:space="preserve"> </w:t>
      </w:r>
      <w:r>
        <w:rPr>
          <w:rFonts w:ascii="Arial" w:cs="Arial" w:eastAsia="Arial" w:hAnsi="Arial"/>
          <w:sz w:val="22"/>
          <w:szCs w:val="22"/>
          <w:color w:val="auto"/>
        </w:rPr>
        <w:t>Underwriters shall be delivered, mailed or sent to Morgan Stanley &amp; Co. LLC, 1585 Broadway, New York, New York 10036, Attention: Equity Syndicate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232" w:name="page233"/>
    <w:bookmarkEnd w:id="232"/>
    <w:p>
      <w:pPr>
        <w:spacing w:after="0" w:line="250" w:lineRule="auto"/>
        <w:rPr>
          <w:sz w:val="20"/>
          <w:szCs w:val="20"/>
          <w:color w:val="auto"/>
        </w:rPr>
      </w:pPr>
      <w:r>
        <w:rPr>
          <w:rFonts w:ascii="Arial" w:cs="Arial" w:eastAsia="Arial" w:hAnsi="Arial"/>
          <w:sz w:val="22"/>
          <w:szCs w:val="22"/>
          <w:color w:val="auto"/>
        </w:rPr>
        <w:t>Desk, with a copy to the Legal Department; KeyBanc Capital Markets Inc., 127 Public Square, Cleveland, OH, 44114; and BofA Securities, Inc, One Bryant Park, New York, NY 10036; and if to the Company shall be delivered, mailed or sent to 875 Stevenson St., 5th Floor, San Francisco, CA 94103, Attention: General Counsel, with a copy to Cooley LLP, 3175 Hanover Street, Palo Alto, CA 94304-1130, Attention John H.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160"/>
          </w:cols>
          <w:pgMar w:left="320" w:top="1428" w:right="419" w:bottom="1440" w:gutter="0" w:footer="0" w:header="0"/>
        </w:sectPr>
      </w:pPr>
    </w:p>
    <w:bookmarkStart w:id="233" w:name="page234"/>
    <w:bookmarkEnd w:id="233"/>
    <w:p>
      <w:pPr>
        <w:spacing w:after="0" w:line="42" w:lineRule="exact"/>
        <w:rPr>
          <w:sz w:val="20"/>
          <w:szCs w:val="20"/>
          <w:color w:val="auto"/>
        </w:rPr>
      </w:pPr>
    </w:p>
    <w:p>
      <w:pPr>
        <w:jc w:val="right"/>
        <w:ind w:right="3059"/>
        <w:spacing w:after="0"/>
        <w:rPr>
          <w:sz w:val="20"/>
          <w:szCs w:val="20"/>
          <w:color w:val="auto"/>
        </w:rPr>
      </w:pPr>
      <w:r>
        <w:rPr>
          <w:rFonts w:ascii="Arial" w:cs="Arial" w:eastAsia="Arial" w:hAnsi="Arial"/>
          <w:sz w:val="22"/>
          <w:szCs w:val="22"/>
          <w:color w:val="auto"/>
        </w:rPr>
        <w:t>Very truly yours,</w:t>
      </w:r>
    </w:p>
    <w:p>
      <w:pPr>
        <w:spacing w:after="0" w:line="328"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NerdWallet, Inc.</w:t>
      </w:r>
    </w:p>
    <w:p>
      <w:pPr>
        <w:spacing w:after="0" w:line="36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24130</wp:posOffset>
            </wp:positionV>
            <wp:extent cx="29660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24130</wp:posOffset>
            </wp:positionV>
            <wp:extent cx="29660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24130</wp:posOffset>
            </wp:positionV>
            <wp:extent cx="29660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color w:val="auto"/>
        </w:rPr>
        <w:t>Accepted as of the date hereof</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KeyBanc Capital Markets Inc.</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Acting severally on behalf of themselves and the several</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Underwriters named in Schedule I hereto.</w:t>
      </w:r>
    </w:p>
    <w:p>
      <w:pPr>
        <w:spacing w:after="0" w:line="310"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Morgan Stanley &amp; Co. LLC</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24130</wp:posOffset>
            </wp:positionV>
            <wp:extent cx="29571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24130</wp:posOffset>
            </wp:positionV>
            <wp:extent cx="29571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24130</wp:posOffset>
            </wp:positionV>
            <wp:extent cx="29571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08"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KeyBanc Capital Markets Inc.</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24130</wp:posOffset>
            </wp:positionV>
            <wp:extent cx="29571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24130</wp:posOffset>
            </wp:positionV>
            <wp:extent cx="29571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24130</wp:posOffset>
            </wp:positionV>
            <wp:extent cx="29571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08"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BofA Securities, Inc.</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24130</wp:posOffset>
            </wp:positionV>
            <wp:extent cx="29571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24130</wp:posOffset>
            </wp:positionV>
            <wp:extent cx="29571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24130</wp:posOffset>
            </wp:positionV>
            <wp:extent cx="29571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119"/>
          </w:cols>
          <w:pgMar w:left="340" w:top="1440" w:right="1440" w:bottom="1440" w:gutter="0" w:footer="0" w:header="0"/>
        </w:sectPr>
      </w:pPr>
    </w:p>
    <w:bookmarkStart w:id="234" w:name="page235"/>
    <w:bookmarkEnd w:id="234"/>
    <w:p>
      <w:pPr>
        <w:ind w:left="9900"/>
        <w:spacing w:after="0"/>
        <w:rPr>
          <w:sz w:val="20"/>
          <w:szCs w:val="20"/>
          <w:color w:val="auto"/>
        </w:rPr>
      </w:pPr>
      <w:r>
        <w:rPr>
          <w:rFonts w:ascii="Arial" w:cs="Arial" w:eastAsia="Arial" w:hAnsi="Arial"/>
          <w:sz w:val="21"/>
          <w:szCs w:val="21"/>
          <w:b w:val="1"/>
          <w:bCs w:val="1"/>
          <w:color w:val="auto"/>
        </w:rPr>
        <w:t>SCHEDULE I</w:t>
      </w:r>
    </w:p>
    <w:p>
      <w:pPr>
        <w:sectPr>
          <w:pgSz w:w="11900" w:h="16838" w:orient="portrait"/>
          <w:cols w:equalWidth="0" w:num="1">
            <w:col w:w="11220"/>
          </w:cols>
          <w:pgMar w:left="340" w:top="1422"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3220"/>
        <w:spacing w:after="0"/>
        <w:rPr>
          <w:sz w:val="20"/>
          <w:szCs w:val="20"/>
          <w:color w:val="auto"/>
        </w:rPr>
      </w:pPr>
      <w:r>
        <w:rPr>
          <w:rFonts w:ascii="Arial" w:cs="Arial" w:eastAsia="Arial" w:hAnsi="Arial"/>
          <w:sz w:val="19"/>
          <w:szCs w:val="19"/>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420"/>
        <w:spacing w:after="0"/>
        <w:rPr>
          <w:sz w:val="20"/>
          <w:szCs w:val="20"/>
          <w:color w:val="auto"/>
        </w:rPr>
      </w:pPr>
      <w:r>
        <w:rPr>
          <w:rFonts w:ascii="Arial" w:cs="Arial" w:eastAsia="Arial" w:hAnsi="Arial"/>
          <w:sz w:val="19"/>
          <w:szCs w:val="19"/>
          <w:b w:val="1"/>
          <w:bCs w:val="1"/>
          <w:color w:val="auto"/>
        </w:rPr>
        <w:t>Number of Firm Shares To Be</w:t>
      </w:r>
    </w:p>
    <w:p>
      <w:pPr>
        <w:spacing w:after="0" w:line="62"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Purchased</w:t>
      </w:r>
    </w:p>
    <w:p>
      <w:pPr>
        <w:spacing w:after="0" w:line="53" w:lineRule="exact"/>
        <w:rPr>
          <w:sz w:val="20"/>
          <w:szCs w:val="20"/>
          <w:color w:val="auto"/>
        </w:rPr>
      </w:pPr>
    </w:p>
    <w:p>
      <w:pPr>
        <w:sectPr>
          <w:pgSz w:w="11900" w:h="16838" w:orient="portrait"/>
          <w:cols w:equalWidth="0" w:num="2">
            <w:col w:w="7300" w:space="720"/>
            <w:col w:w="3200"/>
          </w:cols>
          <w:pgMar w:left="340" w:top="1422" w:right="339" w:bottom="1440" w:gutter="0" w:footer="0" w:header="0"/>
          <w:type w:val="continuous"/>
        </w:sectPr>
      </w:pPr>
    </w:p>
    <w:p>
      <w:pPr>
        <w:spacing w:after="0"/>
        <w:rPr>
          <w:sz w:val="20"/>
          <w:szCs w:val="20"/>
          <w:color w:val="auto"/>
        </w:rPr>
      </w:pPr>
      <w:r>
        <w:rPr>
          <w:rFonts w:ascii="Arial" w:cs="Arial" w:eastAsia="Arial" w:hAnsi="Arial"/>
          <w:sz w:val="22"/>
          <w:szCs w:val="22"/>
          <w:color w:val="auto"/>
        </w:rPr>
        <w:t>Morgan Stanley &amp; Co.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KeyBanc Capital Markets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Barclays Capital Inc.</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Markets Inc.</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Truist Securities, Inc.</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William Blair &amp; Company, L.L.C.</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195580</wp:posOffset>
            </wp:positionV>
            <wp:extent cx="22885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6985</wp:posOffset>
            </wp:positionV>
            <wp:extent cx="22885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33020</wp:posOffset>
            </wp:positionV>
            <wp:extent cx="22885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w:t>
      </w:r>
    </w:p>
    <w:p>
      <w:pPr>
        <w:sectPr>
          <w:pgSz w:w="11900" w:h="16838" w:orient="portrait"/>
          <w:cols w:equalWidth="0" w:num="1">
            <w:col w:w="11220"/>
          </w:cols>
          <w:pgMar w:left="340" w:top="1422" w:right="339" w:bottom="1440" w:gutter="0" w:footer="0" w:header="0"/>
          <w:type w:val="continuous"/>
        </w:sectPr>
      </w:pPr>
    </w:p>
    <w:bookmarkStart w:id="235" w:name="page236"/>
    <w:bookmarkEnd w:id="235"/>
    <w:p>
      <w:pPr>
        <w:jc w:val="right"/>
        <w:spacing w:after="0"/>
        <w:rPr>
          <w:sz w:val="20"/>
          <w:szCs w:val="20"/>
          <w:color w:val="auto"/>
        </w:rPr>
      </w:pPr>
      <w:r>
        <w:rPr>
          <w:rFonts w:ascii="Arial" w:cs="Arial" w:eastAsia="Arial" w:hAnsi="Arial"/>
          <w:sz w:val="22"/>
          <w:szCs w:val="22"/>
          <w:b w:val="1"/>
          <w:bCs w:val="1"/>
          <w:color w:val="auto"/>
        </w:rPr>
        <w:t>SCHEDULE 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 of Sale Prospectus</w:t>
      </w:r>
    </w:p>
    <w:p>
      <w:pPr>
        <w:spacing w:after="0" w:line="172" w:lineRule="exact"/>
        <w:rPr>
          <w:sz w:val="20"/>
          <w:szCs w:val="20"/>
          <w:color w:val="auto"/>
        </w:rPr>
      </w:pPr>
    </w:p>
    <w:p>
      <w:pPr>
        <w:ind w:left="380" w:hanging="372"/>
        <w:spacing w:after="0"/>
        <w:tabs>
          <w:tab w:leader="none" w:pos="38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Preliminary Prospectus issued [date]</w:t>
      </w:r>
    </w:p>
    <w:p>
      <w:pPr>
        <w:spacing w:after="0" w:line="165" w:lineRule="exact"/>
        <w:rPr>
          <w:rFonts w:ascii="Arial" w:cs="Arial" w:eastAsia="Arial" w:hAnsi="Arial"/>
          <w:sz w:val="22"/>
          <w:szCs w:val="22"/>
          <w:color w:val="auto"/>
        </w:rPr>
      </w:pPr>
    </w:p>
    <w:p>
      <w:pPr>
        <w:ind w:left="380" w:hanging="372"/>
        <w:spacing w:after="0"/>
        <w:tabs>
          <w:tab w:leader="none" w:pos="38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[identify all free writing prospectuses filed by the Company under Rule 433(d) of the Securities Act]</w:t>
      </w:r>
    </w:p>
    <w:p>
      <w:pPr>
        <w:spacing w:after="0" w:line="165" w:lineRule="exact"/>
        <w:rPr>
          <w:rFonts w:ascii="Arial" w:cs="Arial" w:eastAsia="Arial" w:hAnsi="Arial"/>
          <w:sz w:val="22"/>
          <w:szCs w:val="22"/>
          <w:color w:val="auto"/>
        </w:rPr>
      </w:pPr>
    </w:p>
    <w:p>
      <w:pPr>
        <w:ind w:left="660" w:right="440" w:hanging="652"/>
        <w:spacing w:after="0" w:line="263" w:lineRule="auto"/>
        <w:tabs>
          <w:tab w:leader="none" w:pos="39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[free writing prospectus containing a description of terms that does not reflect final terms, if the Time of Sale Prospectus does not include a final term sheet]</w:t>
      </w:r>
    </w:p>
    <w:p>
      <w:pPr>
        <w:spacing w:after="0" w:line="120" w:lineRule="exact"/>
        <w:rPr>
          <w:rFonts w:ascii="Arial" w:cs="Arial" w:eastAsia="Arial" w:hAnsi="Arial"/>
          <w:sz w:val="22"/>
          <w:szCs w:val="22"/>
          <w:color w:val="auto"/>
        </w:rPr>
      </w:pPr>
    </w:p>
    <w:p>
      <w:pPr>
        <w:ind w:left="380" w:hanging="372"/>
        <w:spacing w:after="0"/>
        <w:tabs>
          <w:tab w:leader="none" w:pos="38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[orally communicated pricing information such as price per share and size of offering if a Rule 134 pricing term sheet is used</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9"/>
          <w:szCs w:val="19"/>
          <w:color w:val="auto"/>
        </w:rPr>
        <w:t>at the time of sale instead of a pricing term sheet filed by the Company under Rule 433(d) as a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ectPr>
          <w:pgSz w:w="11900" w:h="16838" w:orient="portrait"/>
          <w:cols w:equalWidth="0" w:num="1">
            <w:col w:w="11240"/>
          </w:cols>
          <w:pgMar w:left="320" w:top="1422"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22"/>
          <w:szCs w:val="22"/>
          <w:b w:val="1"/>
          <w:bCs w:val="1"/>
          <w:color w:val="auto"/>
        </w:rPr>
        <w:t>SCHEDULE III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Written Testing-the-Waters Communications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III-1</w:t>
      </w:r>
    </w:p>
    <w:p>
      <w:pPr>
        <w:sectPr>
          <w:pgSz w:w="11900" w:h="16838" w:orient="portrait"/>
          <w:cols w:equalWidth="0" w:num="1">
            <w:col w:w="11240"/>
          </w:cols>
          <w:pgMar w:left="320" w:top="1422"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22"/>
          <w:szCs w:val="22"/>
          <w:b w:val="1"/>
          <w:bCs w:val="1"/>
          <w:color w:val="auto"/>
        </w:rPr>
        <w:t>EXHIBIT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LOCK-UP AGREEMENT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_____________, 2021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KeyBanc Capital Markets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Representatives of the several</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Underwriters listed in Schedule I to the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Underwriting Agreement referred to below</w:t>
      </w:r>
    </w:p>
    <w:p>
      <w:pPr>
        <w:spacing w:after="0" w:line="4" w:lineRule="exact"/>
        <w:rPr>
          <w:sz w:val="20"/>
          <w:szCs w:val="20"/>
          <w:color w:val="auto"/>
        </w:rPr>
      </w:pPr>
    </w:p>
    <w:p>
      <w:pPr>
        <w:ind w:right="5100"/>
        <w:spacing w:after="0" w:line="243" w:lineRule="auto"/>
        <w:rPr>
          <w:sz w:val="20"/>
          <w:szCs w:val="20"/>
          <w:color w:val="auto"/>
        </w:rPr>
      </w:pPr>
      <w:r>
        <w:rPr>
          <w:rFonts w:ascii="Arial" w:cs="Arial" w:eastAsia="Arial" w:hAnsi="Arial"/>
          <w:sz w:val="22"/>
          <w:szCs w:val="22"/>
          <w:color w:val="auto"/>
        </w:rPr>
        <w:t>c/o Morgan Stanley &amp; Co. LLC 1585 Broadway New York, NY 10036 c/o KeyBanc Capital Markets Inc.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127 Public Square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Cleveland, OH 44114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 BofA Securities, Inc.</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One Bryant Park</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New York, NY 10036</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ind w:firstLine="656"/>
        <w:spacing w:after="0" w:line="248" w:lineRule="auto"/>
        <w:tabs>
          <w:tab w:leader="none" w:pos="129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undersigned understands that Morgan Stanley &amp; Co. LLC (“</w:t>
      </w:r>
      <w:r>
        <w:rPr>
          <w:rFonts w:ascii="Arial" w:cs="Arial" w:eastAsia="Arial" w:hAnsi="Arial"/>
          <w:sz w:val="22"/>
          <w:szCs w:val="22"/>
          <w:b w:val="1"/>
          <w:bCs w:val="1"/>
          <w:color w:val="auto"/>
        </w:rPr>
        <w:t>Morgan Stanley</w:t>
      </w:r>
      <w:r>
        <w:rPr>
          <w:rFonts w:ascii="Arial" w:cs="Arial" w:eastAsia="Arial" w:hAnsi="Arial"/>
          <w:sz w:val="22"/>
          <w:szCs w:val="22"/>
          <w:color w:val="auto"/>
        </w:rPr>
        <w:t>”), KeyBanc Capital Markets Inc. (“</w:t>
      </w:r>
      <w:r>
        <w:rPr>
          <w:rFonts w:ascii="Arial" w:cs="Arial" w:eastAsia="Arial" w:hAnsi="Arial"/>
          <w:sz w:val="22"/>
          <w:szCs w:val="22"/>
          <w:b w:val="1"/>
          <w:bCs w:val="1"/>
          <w:color w:val="auto"/>
        </w:rPr>
        <w:t>KeyBanc</w:t>
      </w:r>
      <w:r>
        <w:rPr>
          <w:rFonts w:ascii="Arial" w:cs="Arial" w:eastAsia="Arial" w:hAnsi="Arial"/>
          <w:sz w:val="22"/>
          <w:szCs w:val="22"/>
          <w:color w:val="auto"/>
        </w:rPr>
        <w:t>”) and BofA Securities, Inc. (collectively, the “</w:t>
      </w:r>
      <w:r>
        <w:rPr>
          <w:rFonts w:ascii="Arial" w:cs="Arial" w:eastAsia="Arial" w:hAnsi="Arial"/>
          <w:sz w:val="22"/>
          <w:szCs w:val="22"/>
          <w:b w:val="1"/>
          <w:bCs w:val="1"/>
          <w:color w:val="auto"/>
        </w:rPr>
        <w:t>Representatives</w:t>
      </w:r>
      <w:r>
        <w:rPr>
          <w:rFonts w:ascii="Arial" w:cs="Arial" w:eastAsia="Arial" w:hAnsi="Arial"/>
          <w:sz w:val="22"/>
          <w:szCs w:val="22"/>
          <w:color w:val="auto"/>
        </w:rPr>
        <w:t>”) propose to enter into an Underwriting Agreement (the “</w:t>
      </w:r>
      <w:r>
        <w:rPr>
          <w:rFonts w:ascii="Arial" w:cs="Arial" w:eastAsia="Arial" w:hAnsi="Arial"/>
          <w:sz w:val="22"/>
          <w:szCs w:val="22"/>
          <w:b w:val="1"/>
          <w:bCs w:val="1"/>
          <w:color w:val="auto"/>
        </w:rPr>
        <w:t>Underwriting Agreement</w:t>
      </w:r>
      <w:r>
        <w:rPr>
          <w:rFonts w:ascii="Arial" w:cs="Arial" w:eastAsia="Arial" w:hAnsi="Arial"/>
          <w:sz w:val="22"/>
          <w:szCs w:val="22"/>
          <w:color w:val="auto"/>
        </w:rPr>
        <w:t>”) with NerdWallet,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providing for the public offering (the “</w:t>
      </w:r>
      <w:r>
        <w:rPr>
          <w:rFonts w:ascii="Arial" w:cs="Arial" w:eastAsia="Arial" w:hAnsi="Arial"/>
          <w:sz w:val="22"/>
          <w:szCs w:val="22"/>
          <w:b w:val="1"/>
          <w:bCs w:val="1"/>
          <w:color w:val="auto"/>
        </w:rPr>
        <w:t>Public Offering</w:t>
      </w:r>
      <w:r>
        <w:rPr>
          <w:rFonts w:ascii="Arial" w:cs="Arial" w:eastAsia="Arial" w:hAnsi="Arial"/>
          <w:sz w:val="22"/>
          <w:szCs w:val="22"/>
          <w:color w:val="auto"/>
        </w:rPr>
        <w:t>”) by the several Underwriters listed on Schedule I to the Underwriting Agreement, including the Representatives (the “</w:t>
      </w:r>
      <w:r>
        <w:rPr>
          <w:rFonts w:ascii="Arial" w:cs="Arial" w:eastAsia="Arial" w:hAnsi="Arial"/>
          <w:sz w:val="22"/>
          <w:szCs w:val="22"/>
          <w:b w:val="1"/>
          <w:bCs w:val="1"/>
          <w:color w:val="auto"/>
        </w:rPr>
        <w:t>Underwriters</w:t>
      </w:r>
      <w:r>
        <w:rPr>
          <w:rFonts w:ascii="Arial" w:cs="Arial" w:eastAsia="Arial" w:hAnsi="Arial"/>
          <w:sz w:val="22"/>
          <w:szCs w:val="22"/>
          <w:color w:val="auto"/>
        </w:rPr>
        <w:t>”), of shares (the “</w:t>
      </w:r>
      <w:r>
        <w:rPr>
          <w:rFonts w:ascii="Arial" w:cs="Arial" w:eastAsia="Arial" w:hAnsi="Arial"/>
          <w:sz w:val="22"/>
          <w:szCs w:val="22"/>
          <w:b w:val="1"/>
          <w:bCs w:val="1"/>
          <w:color w:val="auto"/>
        </w:rPr>
        <w:t>Shares</w:t>
      </w:r>
      <w:r>
        <w:rPr>
          <w:rFonts w:ascii="Arial" w:cs="Arial" w:eastAsia="Arial" w:hAnsi="Arial"/>
          <w:sz w:val="22"/>
          <w:szCs w:val="22"/>
          <w:color w:val="auto"/>
        </w:rPr>
        <w:t>”) of Class A common stock, par value $0.0001 per share, of the Company (the “</w:t>
      </w:r>
      <w:r>
        <w:rPr>
          <w:rFonts w:ascii="Arial" w:cs="Arial" w:eastAsia="Arial" w:hAnsi="Arial"/>
          <w:sz w:val="22"/>
          <w:szCs w:val="22"/>
          <w:b w:val="1"/>
          <w:bCs w:val="1"/>
          <w:color w:val="auto"/>
        </w:rPr>
        <w:t>Common Stock</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right="40" w:firstLine="656"/>
        <w:spacing w:after="0" w:line="287" w:lineRule="auto"/>
        <w:tabs>
          <w:tab w:leader="none" w:pos="129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To induce the Underwriters that may participate in the Public Offering to continue their efforts in connection with the Public Offering, the undersigned hereby agrees that, without the prior written consent of Morgan Stanley and KeyBanc on behalf of the Underwriters, it will not, and will not publicly disclose an intention to, during the period commencing on the date of this letter agreement (this “</w:t>
      </w:r>
      <w:r>
        <w:rPr>
          <w:rFonts w:ascii="Arial" w:cs="Arial" w:eastAsia="Arial" w:hAnsi="Arial"/>
          <w:sz w:val="19"/>
          <w:szCs w:val="19"/>
          <w:b w:val="1"/>
          <w:bCs w:val="1"/>
          <w:color w:val="auto"/>
        </w:rPr>
        <w:t>Letter Agreement</w:t>
      </w:r>
      <w:r>
        <w:rPr>
          <w:rFonts w:ascii="Arial" w:cs="Arial" w:eastAsia="Arial" w:hAnsi="Arial"/>
          <w:sz w:val="19"/>
          <w:szCs w:val="19"/>
          <w:color w:val="auto"/>
        </w:rPr>
        <w:t>”) and ending 180 days after the date of the final prospectus (the “</w:t>
      </w:r>
      <w:r>
        <w:rPr>
          <w:rFonts w:ascii="Arial" w:cs="Arial" w:eastAsia="Arial" w:hAnsi="Arial"/>
          <w:sz w:val="19"/>
          <w:szCs w:val="19"/>
          <w:b w:val="1"/>
          <w:bCs w:val="1"/>
          <w:color w:val="auto"/>
        </w:rPr>
        <w:t>Restricted</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relating to the Public Offering (the “</w:t>
      </w:r>
      <w:r>
        <w:rPr>
          <w:rFonts w:ascii="Arial" w:cs="Arial" w:eastAsia="Arial" w:hAnsi="Arial"/>
          <w:sz w:val="19"/>
          <w:szCs w:val="19"/>
          <w:b w:val="1"/>
          <w:bCs w:val="1"/>
          <w:color w:val="auto"/>
        </w:rPr>
        <w:t>Prospectus</w:t>
      </w:r>
      <w:r>
        <w:rPr>
          <w:rFonts w:ascii="Arial" w:cs="Arial" w:eastAsia="Arial" w:hAnsi="Arial"/>
          <w:sz w:val="19"/>
          <w:szCs w:val="19"/>
          <w:color w:val="auto"/>
        </w:rPr>
        <w:t>”), (1) offer, pledge, sell, contract to sell, sell any option or contract to</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22" w:right="339" w:bottom="1440" w:gutter="0" w:footer="0" w:header="0"/>
        </w:sectPr>
      </w:pPr>
    </w:p>
    <w:bookmarkStart w:id="238" w:name="page239"/>
    <w:bookmarkEnd w:id="238"/>
    <w:p>
      <w:pPr>
        <w:ind w:right="300"/>
        <w:spacing w:after="0" w:line="302" w:lineRule="auto"/>
        <w:rPr>
          <w:sz w:val="20"/>
          <w:szCs w:val="20"/>
          <w:color w:val="auto"/>
        </w:rPr>
      </w:pPr>
      <w:r>
        <w:rPr>
          <w:rFonts w:ascii="Arial" w:cs="Arial" w:eastAsia="Arial" w:hAnsi="Arial"/>
          <w:sz w:val="19"/>
          <w:szCs w:val="19"/>
          <w:color w:val="auto"/>
        </w:rPr>
        <w:t>acknowledges and agrees that the foregoing precludes the undersigned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w:t>
      </w:r>
    </w:p>
    <w:p>
      <w:pPr>
        <w:spacing w:after="0" w:line="142" w:lineRule="exact"/>
        <w:rPr>
          <w:sz w:val="20"/>
          <w:szCs w:val="20"/>
          <w:color w:val="auto"/>
        </w:rPr>
      </w:pPr>
    </w:p>
    <w:p>
      <w:pPr>
        <w:ind w:right="20" w:firstLine="656"/>
        <w:spacing w:after="0" w:line="288" w:lineRule="auto"/>
        <w:tabs>
          <w:tab w:leader="none" w:pos="1296" w:val="left"/>
        </w:tabs>
        <w:numPr>
          <w:ilvl w:val="1"/>
          <w:numId w:val="169"/>
        </w:numPr>
        <w:rPr>
          <w:rFonts w:ascii="Arial" w:cs="Arial" w:eastAsia="Arial" w:hAnsi="Arial"/>
          <w:sz w:val="19"/>
          <w:szCs w:val="19"/>
          <w:color w:val="auto"/>
        </w:rPr>
      </w:pPr>
      <w:r>
        <w:rPr>
          <w:rFonts w:ascii="Arial" w:cs="Arial" w:eastAsia="Arial" w:hAnsi="Arial"/>
          <w:sz w:val="19"/>
          <w:szCs w:val="19"/>
          <w:color w:val="auto"/>
        </w:rPr>
        <w:t>Notwithstanding the restrictions in Section 2 of this Letter Agreement, if the undersigned is a (i) current or former employee of the Company, (ii) current director or officer of the Company, but excluding the chief executive officer and chief financial officer of the Company, or (iii) any other security holder of the Company, an aggregate of 25% of the vested Common Stock and other vested securities convertible into or exercisable or exchangeable for Common Stock owned by the undersigned as of 10 Trading Days prior to the Early Release Date (as defined below) will be automatically released from such restrictions immediately prior to the opening of trading on the Nasdaq stock market on the third Trading Day immediately following the Company’s first public release of earnings following the Public Offering (the “</w:t>
      </w:r>
      <w:r>
        <w:rPr>
          <w:rFonts w:ascii="Arial" w:cs="Arial" w:eastAsia="Arial" w:hAnsi="Arial"/>
          <w:sz w:val="19"/>
          <w:szCs w:val="19"/>
          <w:b w:val="1"/>
          <w:bCs w:val="1"/>
          <w:color w:val="auto"/>
        </w:rPr>
        <w:t>Early Release Date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last reported closing price of the Common Stock on the Nasdaq stock market must be at least 20% greater than the initial public offering price per share set forth on the cover page of the Prospectus on (a) any 10 of the prior 15 Trading Days leading up to the earnings release date and (b) the closing of the last full Trading Day immediately prior to the Early Release Date.</w:t>
      </w:r>
    </w:p>
    <w:p>
      <w:pPr>
        <w:spacing w:after="0" w:line="159" w:lineRule="exact"/>
        <w:rPr>
          <w:rFonts w:ascii="Arial" w:cs="Arial" w:eastAsia="Arial" w:hAnsi="Arial"/>
          <w:sz w:val="19"/>
          <w:szCs w:val="19"/>
          <w:color w:val="auto"/>
        </w:rPr>
      </w:pPr>
    </w:p>
    <w:p>
      <w:pPr>
        <w:ind w:left="660" w:hanging="328"/>
        <w:spacing w:after="0"/>
        <w:tabs>
          <w:tab w:leader="none" w:pos="6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restrictions in Section 2 of this Letter Agreement shall not apply to:</w:t>
      </w:r>
    </w:p>
    <w:p>
      <w:pPr>
        <w:spacing w:after="0" w:line="219" w:lineRule="exact"/>
        <w:rPr>
          <w:rFonts w:ascii="Arial" w:cs="Arial" w:eastAsia="Arial" w:hAnsi="Arial"/>
          <w:sz w:val="22"/>
          <w:szCs w:val="22"/>
          <w:color w:val="auto"/>
        </w:rPr>
      </w:pPr>
    </w:p>
    <w:p>
      <w:pPr>
        <w:ind w:left="1300" w:right="140" w:hanging="320"/>
        <w:spacing w:after="0" w:line="302" w:lineRule="auto"/>
        <w:tabs>
          <w:tab w:leader="none" w:pos="1297" w:val="left"/>
        </w:tabs>
        <w:numPr>
          <w:ilvl w:val="2"/>
          <w:numId w:val="170"/>
        </w:numPr>
        <w:rPr>
          <w:rFonts w:ascii="Arial" w:cs="Arial" w:eastAsia="Arial" w:hAnsi="Arial"/>
          <w:sz w:val="19"/>
          <w:szCs w:val="19"/>
          <w:color w:val="auto"/>
        </w:rPr>
      </w:pPr>
      <w:r>
        <w:rPr>
          <w:rFonts w:ascii="Arial" w:cs="Arial" w:eastAsia="Arial" w:hAnsi="Arial"/>
          <w:sz w:val="19"/>
          <w:szCs w:val="19"/>
          <w:color w:val="auto"/>
        </w:rPr>
        <w:t xml:space="preserve">transactions relating to shares of Common Stock or other securities of the Company acquired in the Public Offering or in open market transactions after the completion of the Public Offering,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filing under Section 16(a) of the Exchange Act shall be required or shall be voluntarily made in connection with subsequent sales of Common Stock or other securities acquired in the Public Offering or such open market transactions;</w:t>
      </w:r>
    </w:p>
    <w:p>
      <w:pPr>
        <w:spacing w:after="0" w:line="142" w:lineRule="exact"/>
        <w:rPr>
          <w:rFonts w:ascii="Arial" w:cs="Arial" w:eastAsia="Arial" w:hAnsi="Arial"/>
          <w:sz w:val="19"/>
          <w:szCs w:val="19"/>
          <w:color w:val="auto"/>
        </w:rPr>
      </w:pPr>
    </w:p>
    <w:p>
      <w:pPr>
        <w:ind w:left="1300" w:hanging="320"/>
        <w:spacing w:after="0" w:line="258" w:lineRule="auto"/>
        <w:tabs>
          <w:tab w:leader="none" w:pos="1295" w:val="left"/>
        </w:tabs>
        <w:numPr>
          <w:ilvl w:val="2"/>
          <w:numId w:val="170"/>
        </w:numPr>
        <w:rPr>
          <w:rFonts w:ascii="Arial" w:cs="Arial" w:eastAsia="Arial" w:hAnsi="Arial"/>
          <w:sz w:val="21"/>
          <w:szCs w:val="21"/>
          <w:color w:val="auto"/>
        </w:rPr>
      </w:pPr>
      <w:r>
        <w:rPr>
          <w:rFonts w:ascii="Arial" w:cs="Arial" w:eastAsia="Arial" w:hAnsi="Arial"/>
          <w:sz w:val="21"/>
          <w:szCs w:val="21"/>
          <w:color w:val="auto"/>
        </w:rPr>
        <w:t xml:space="preserve">transfers of shares of Common Stock or other securities of the Company (i) as a bona fide gift or for bona fide estate planning purposes, (ii) to an immediate family member (as defined below) or to any trust for the direct or indirect benefit of the undersigned or an immediate family member of the undersigned, (iii) to any corporation, partnership, limited liability company, investment fund or other entity controlled or managed, or under common control or management by, the undersigned, or (iv) by will, other testamentary document or intestate succession to the legal representative, heir, beneficiary or an immediate family member of the undersigned;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any transfer pursuant to this clause (b), (i) each transferee shall sign and deliver a lock-up agreement substantially in the form of this agreement, and (ii) no filing under Section 16(a) of the Exchange Act, reporting a reduction in beneficial ownership of shares of Common Stock, shall be required or shall be voluntarily made during the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180"/>
          </w:cols>
          <w:pgMar w:left="320" w:top="1428" w:right="399" w:bottom="1440" w:gutter="0" w:footer="0" w:header="0"/>
        </w:sectPr>
      </w:pPr>
    </w:p>
    <w:bookmarkStart w:id="239" w:name="page240"/>
    <w:bookmarkEnd w:id="239"/>
    <w:p>
      <w:pPr>
        <w:ind w:left="320" w:hanging="320"/>
        <w:spacing w:after="0" w:line="259" w:lineRule="exact"/>
        <w:tabs>
          <w:tab w:leader="none" w:pos="31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if the undersigned is a corporation, partnership, limited liability company, trust, or other business entity, transfers or distributions of shares of Common Stock or other securities of the Company to current or former general or limited partners, managers or members, stockholders, other equityholders or direct or indirect affiliates (within the meaning of Rule 405 under the Securities Act of 1933, as amended) of the undersigned or to the estates of any of the foregoing;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transfer or distribution pursuant to this clause (c), (i) each transferee or distributee shall sign and deliver a lock</w:t>
      </w:r>
      <w:r>
        <w:rPr>
          <w:rFonts w:ascii="MS PGothic" w:cs="MS PGothic" w:eastAsia="MS PGothic" w:hAnsi="MS PGothic"/>
          <w:sz w:val="19"/>
          <w:szCs w:val="19"/>
          <w:color w:val="auto"/>
        </w:rPr>
        <w:t>‑</w:t>
      </w:r>
      <w:r>
        <w:rPr>
          <w:rFonts w:ascii="Arial" w:cs="Arial" w:eastAsia="Arial" w:hAnsi="Arial"/>
          <w:sz w:val="19"/>
          <w:szCs w:val="19"/>
          <w:color w:val="auto"/>
        </w:rPr>
        <w:t>up agreement substantially in the form of this agreement, and (ii) no filing under Section 16(a) of the Exchange Act, reporting a reduction in beneficial ownership of shares of Common Stock, shall be required or shall be voluntarily made during the Restricted Period;</w:t>
      </w:r>
    </w:p>
    <w:p>
      <w:pPr>
        <w:spacing w:after="0" w:line="199" w:lineRule="exact"/>
        <w:rPr>
          <w:rFonts w:ascii="Arial" w:cs="Arial" w:eastAsia="Arial" w:hAnsi="Arial"/>
          <w:sz w:val="19"/>
          <w:szCs w:val="19"/>
          <w:color w:val="auto"/>
        </w:rPr>
      </w:pPr>
    </w:p>
    <w:p>
      <w:pPr>
        <w:ind w:left="320" w:right="80" w:hanging="320"/>
        <w:spacing w:after="0" w:line="287" w:lineRule="auto"/>
        <w:tabs>
          <w:tab w:leader="none" w:pos="315"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facilitating the establishment of a trading plan on behalf of a shareholder, officer or director of the Company pursuant to Rule 10b5-1 under the Exchange Act for the transfer of shares of Common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plan does not provide for the transfer of Common Stock during the Restricted Period (other than as allowed in accordance with Section 3 hereof)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In addition, the undersigned agrees that, without the prior written consent of Morgan Stanley and KeyBanc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320" w:right="80" w:hanging="320"/>
        <w:spacing w:after="0" w:line="289" w:lineRule="auto"/>
        <w:tabs>
          <w:tab w:leader="none" w:pos="31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 the receipt by the undersigned from the Company of shares of Common Stock upon the exercise of options, settlement of restricted stock units or other equity awards granted under a stock incentive plan or other equity award plan, which plan is described in the registration statement related to the Public Offering (the “</w:t>
      </w:r>
      <w:r>
        <w:rPr>
          <w:rFonts w:ascii="Arial" w:cs="Arial" w:eastAsia="Arial" w:hAnsi="Arial"/>
          <w:sz w:val="19"/>
          <w:szCs w:val="19"/>
          <w:b w:val="1"/>
          <w:b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 and the Prospectus, or (ii) the sale or other transfer of shares of Common Stock or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convertible into Common Stock to the Company upon the vesting, exercise or settlement of restricted stock units, options, warrants or other vested Company securities (including, in each case, by way of a “cashless” or “net” exercise basis and any transfer to the Company necessary in respect of such amount needed for the payment of taxes, including estimated taxes, and remittance payments due as a result of such vesting, settlement or exercise including by means of a “net settlement,” “sell to cover”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0220"/>
          </w:cols>
          <w:pgMar w:left="1300" w:top="1428" w:right="379" w:bottom="1440" w:gutter="0" w:footer="0" w:header="0"/>
        </w:sectPr>
      </w:pPr>
    </w:p>
    <w:bookmarkStart w:id="240" w:name="page241"/>
    <w:bookmarkEnd w:id="240"/>
    <w:p>
      <w:pPr>
        <w:ind w:left="320" w:right="300"/>
        <w:spacing w:after="0" w:line="263" w:lineRule="auto"/>
        <w:rPr>
          <w:sz w:val="20"/>
          <w:szCs w:val="20"/>
          <w:color w:val="auto"/>
        </w:rPr>
      </w:pPr>
      <w:r>
        <w:rPr>
          <w:rFonts w:ascii="Arial" w:cs="Arial" w:eastAsia="Arial" w:hAnsi="Arial"/>
          <w:sz w:val="22"/>
          <w:szCs w:val="22"/>
          <w:color w:val="auto"/>
        </w:rPr>
        <w:t>otherwise); provided the shares received upon the vesting, exercise or settlement are subject to the terms of this agreement;</w:t>
      </w:r>
    </w:p>
    <w:p>
      <w:pPr>
        <w:spacing w:after="0" w:line="175" w:lineRule="exact"/>
        <w:rPr>
          <w:sz w:val="20"/>
          <w:szCs w:val="20"/>
          <w:color w:val="auto"/>
        </w:rPr>
      </w:pPr>
    </w:p>
    <w:p>
      <w:pPr>
        <w:ind w:left="320" w:hanging="320"/>
        <w:spacing w:after="0" w:line="261" w:lineRule="exact"/>
        <w:tabs>
          <w:tab w:leader="none" w:pos="32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 xml:space="preserve">the transfer of Common Stock or other securities of the Company that occurs by operation of law, such as pursuant to a qualified domestic order, divorce settlement, divorce decree, settlement agreement or other court order;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in the case of any transfer pursuant to this clause (f), each transferee shall sign and deliver a lock</w:t>
      </w:r>
      <w:r>
        <w:rPr>
          <w:rFonts w:ascii="MS PGothic" w:cs="MS PGothic" w:eastAsia="MS PGothic" w:hAnsi="MS PGothic"/>
          <w:sz w:val="22"/>
          <w:szCs w:val="22"/>
          <w:color w:val="auto"/>
        </w:rPr>
        <w:t>‑</w:t>
      </w:r>
      <w:r>
        <w:rPr>
          <w:rFonts w:ascii="Arial" w:cs="Arial" w:eastAsia="Arial" w:hAnsi="Arial"/>
          <w:sz w:val="22"/>
          <w:szCs w:val="22"/>
          <w:color w:val="auto"/>
        </w:rPr>
        <w:t>up</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substantially in the form of this agreement;</w:t>
      </w:r>
    </w:p>
    <w:p>
      <w:pPr>
        <w:spacing w:after="0" w:line="200" w:lineRule="exact"/>
        <w:rPr>
          <w:rFonts w:ascii="Arial" w:cs="Arial" w:eastAsia="Arial" w:hAnsi="Arial"/>
          <w:sz w:val="22"/>
          <w:szCs w:val="22"/>
          <w:color w:val="auto"/>
        </w:rPr>
      </w:pPr>
    </w:p>
    <w:p>
      <w:pPr>
        <w:ind w:left="320" w:right="120" w:hanging="320"/>
        <w:spacing w:after="0" w:line="253" w:lineRule="auto"/>
        <w:tabs>
          <w:tab w:leader="none" w:pos="315"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transfer of Common Stock to the Company pursuant to arrangements under which the Company has the option to repurchase such shares or a right of first refusal with respect to transfers of such shares or in connection with the death, disability or termination of employment or service;</w:t>
      </w:r>
    </w:p>
    <w:p>
      <w:pPr>
        <w:spacing w:after="0" w:line="185" w:lineRule="exact"/>
        <w:rPr>
          <w:rFonts w:ascii="Arial" w:cs="Arial" w:eastAsia="Arial" w:hAnsi="Arial"/>
          <w:sz w:val="22"/>
          <w:szCs w:val="22"/>
          <w:color w:val="auto"/>
        </w:rPr>
      </w:pPr>
    </w:p>
    <w:p>
      <w:pPr>
        <w:ind w:left="320" w:right="200" w:hanging="320"/>
        <w:spacing w:after="0" w:line="248" w:lineRule="auto"/>
        <w:tabs>
          <w:tab w:leader="none" w:pos="315"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conversion of the outstanding preferred stock and Class F common stock of the Company into shares of Common Stock or Class B common stock, respectively, prior to or in connection with the consummation of the Public Offering, provided that such conversion is described in the Registration Statement and any such shares of Common Stock or Class B common stock, respectively, received upon such conversion shall be subject to the terms of this agreement;</w:t>
      </w:r>
    </w:p>
    <w:p>
      <w:pPr>
        <w:spacing w:after="0" w:line="191" w:lineRule="exact"/>
        <w:rPr>
          <w:rFonts w:ascii="Arial" w:cs="Arial" w:eastAsia="Arial" w:hAnsi="Arial"/>
          <w:sz w:val="22"/>
          <w:szCs w:val="22"/>
          <w:color w:val="auto"/>
        </w:rPr>
      </w:pPr>
    </w:p>
    <w:p>
      <w:pPr>
        <w:ind w:left="320" w:right="60" w:hanging="320"/>
        <w:spacing w:after="0" w:line="287" w:lineRule="auto"/>
        <w:tabs>
          <w:tab w:leader="none" w:pos="308"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transfer of shares of Common Stock or other security of the Company in connection with a bona fide third-party tender offer, merger, consolidation or other similar transaction, that is approved by the Board of Directors of the Company, made to all holders of Common Stock involving a Change of Control (as defined below), provided that in the event that the tender offer, merger, consolidation or other such transaction is not completed, the Common Stock owned by the undersigned shall remain subject to the restrictions contained in this agreement. For the purposes of this clause (i),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shall mean the transfer (whether by tender offer, merger, consolidation or other similar transaction), in one transaction or a series of related transactions, to a person or group of affiliated persons (other than the Underwriters pursuant to the Public Offering), of shares of Common Stock or any securities convertible into or exercisable or exchangeable for Common Stock if, after such transfer, such person or group of affiliated persons would hold more than fifty percent (50%) of the outstanding voting securities of the Company (or the surviving entity); or</w:t>
      </w:r>
    </w:p>
    <w:p>
      <w:pPr>
        <w:spacing w:after="0" w:line="163" w:lineRule="exact"/>
        <w:rPr>
          <w:rFonts w:ascii="Arial" w:cs="Arial" w:eastAsia="Arial" w:hAnsi="Arial"/>
          <w:sz w:val="19"/>
          <w:szCs w:val="19"/>
          <w:color w:val="auto"/>
        </w:rPr>
      </w:pPr>
    </w:p>
    <w:p>
      <w:pPr>
        <w:ind w:left="320" w:right="120" w:hanging="320"/>
        <w:spacing w:after="0" w:line="292" w:lineRule="auto"/>
        <w:tabs>
          <w:tab w:leader="none" w:pos="308"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the sale by the Company (on behalf of the undersigned) of up to such number of shares of Common Stock solely necessary to raise funds to satisfy the Company’s income and payroll tax withholding obligations in connection with the vesting, exercise or settlement of restricted stock units held by the undersigned that are outstanding as of the date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undersigned is required to file a report under Section 16(a) of the Exchange Act during the Restricted Period, the undersigned shall include a statement in any such report to the effect that such transfer was solely pursuant to the circumstances described in this clause (j), no other shares of Common Stock were sold and that the undersigned’s securities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0240"/>
          </w:cols>
          <w:pgMar w:left="1300" w:top="1428" w:right="359" w:bottom="1440" w:gutter="0" w:footer="0" w:header="0"/>
        </w:sectPr>
      </w:pPr>
    </w:p>
    <w:bookmarkStart w:id="241" w:name="page242"/>
    <w:bookmarkEnd w:id="241"/>
    <w:p>
      <w:pPr>
        <w:ind w:left="1300" w:right="40"/>
        <w:spacing w:after="0" w:line="265" w:lineRule="auto"/>
        <w:rPr>
          <w:sz w:val="20"/>
          <w:szCs w:val="20"/>
          <w:color w:val="auto"/>
        </w:rPr>
      </w:pPr>
      <w:r>
        <w:rPr>
          <w:rFonts w:ascii="Arial" w:cs="Arial" w:eastAsia="Arial" w:hAnsi="Arial"/>
          <w:sz w:val="21"/>
          <w:szCs w:val="21"/>
          <w:color w:val="auto"/>
        </w:rPr>
        <w:t xml:space="preserve">subject to a lock-up agreement with the Underwriters;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no other public announcement shall be required or shall be voluntarily made in connection with such transfer. If the undersigned is an officer or director of the Company, the undersigned further agrees that the foregoing restrictions shall be equally applicable to any issuer-directed Shares the undersigned may purchase in the offering.</w:t>
      </w:r>
    </w:p>
    <w:p>
      <w:pPr>
        <w:spacing w:after="0" w:line="169" w:lineRule="exact"/>
        <w:rPr>
          <w:sz w:val="20"/>
          <w:szCs w:val="20"/>
          <w:color w:val="auto"/>
        </w:rPr>
      </w:pPr>
    </w:p>
    <w:p>
      <w:pPr>
        <w:ind w:right="280" w:firstLine="656"/>
        <w:spacing w:after="0" w:line="269" w:lineRule="auto"/>
        <w:tabs>
          <w:tab w:leader="none" w:pos="129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For purposes of this Letter Agreement, a “</w:t>
      </w:r>
      <w:r>
        <w:rPr>
          <w:rFonts w:ascii="Arial" w:cs="Arial" w:eastAsia="Arial" w:hAnsi="Arial"/>
          <w:sz w:val="22"/>
          <w:szCs w:val="22"/>
          <w:b w:val="1"/>
          <w:bCs w:val="1"/>
          <w:color w:val="auto"/>
        </w:rPr>
        <w:t>Trading Day</w:t>
      </w:r>
      <w:r>
        <w:rPr>
          <w:rFonts w:ascii="Arial" w:cs="Arial" w:eastAsia="Arial" w:hAnsi="Arial"/>
          <w:sz w:val="22"/>
          <w:szCs w:val="22"/>
          <w:color w:val="auto"/>
        </w:rPr>
        <w:t>” is a day on which the Nasdaq stock market is open for the buying and selling of securities.</w:t>
      </w:r>
    </w:p>
    <w:p>
      <w:pPr>
        <w:spacing w:after="0" w:line="167" w:lineRule="exact"/>
        <w:rPr>
          <w:rFonts w:ascii="Arial" w:cs="Arial" w:eastAsia="Arial" w:hAnsi="Arial"/>
          <w:sz w:val="22"/>
          <w:szCs w:val="22"/>
          <w:color w:val="auto"/>
        </w:rPr>
      </w:pPr>
    </w:p>
    <w:p>
      <w:pPr>
        <w:ind w:firstLine="656"/>
        <w:spacing w:after="0" w:line="288" w:lineRule="auto"/>
        <w:tabs>
          <w:tab w:leader="none" w:pos="129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If the undersigned is an officer or director of the Company, (i) Morgan Stanley and KeyBanc agree that, at least three business days before the effective date of any release or waiver of the foregoing restrictions in connection with a transfer of shares of Common Stock, Morgan Stanley or KeyBanc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Morgan Stanley and KeyBanc hereunder to any such officer or director shall only be effective two business days after the publication date of such press release. The provisions of this paragraph will not apply if (a) the release or waiver is effected solely to permit a transfer not for consideration or to an immediate family member as defined in FINRA Rule 5130(i)(5) and (b) the transferee has agreed in writing to be bound by the same terms described in this Letter Agreement to the extent and for the duration that such terms remain in effect at the time of the transfer.</w:t>
      </w:r>
    </w:p>
    <w:p>
      <w:pPr>
        <w:spacing w:after="0" w:line="159" w:lineRule="exact"/>
        <w:rPr>
          <w:rFonts w:ascii="Arial" w:cs="Arial" w:eastAsia="Arial" w:hAnsi="Arial"/>
          <w:sz w:val="19"/>
          <w:szCs w:val="19"/>
          <w:color w:val="auto"/>
        </w:rPr>
      </w:pPr>
    </w:p>
    <w:p>
      <w:pPr>
        <w:ind w:right="300" w:firstLine="656"/>
        <w:spacing w:after="0" w:line="312" w:lineRule="auto"/>
        <w:tabs>
          <w:tab w:leader="none" w:pos="129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undersigned understands that the Company and the Underwriters are relying upon this Letter Agreement in proceeding toward consummation of the Public Offering. The undersigned further understands that this Letter Agreement is irrevocable and shall be binding upon the undersigned’s heirs, legal representatives, successors and assigns.</w:t>
      </w:r>
    </w:p>
    <w:p>
      <w:pPr>
        <w:spacing w:after="0" w:line="133" w:lineRule="exact"/>
        <w:rPr>
          <w:rFonts w:ascii="Arial" w:cs="Arial" w:eastAsia="Arial" w:hAnsi="Arial"/>
          <w:sz w:val="19"/>
          <w:szCs w:val="19"/>
          <w:color w:val="auto"/>
        </w:rPr>
      </w:pPr>
    </w:p>
    <w:p>
      <w:pPr>
        <w:ind w:right="60" w:firstLine="656"/>
        <w:spacing w:after="0" w:line="292" w:lineRule="auto"/>
        <w:tabs>
          <w:tab w:leader="none" w:pos="129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and nothing set forth in such disclosures or documentation is intended to suggest that any Underwriter is making such a recommendation.</w:t>
      </w:r>
    </w:p>
    <w:p>
      <w:pPr>
        <w:spacing w:after="0" w:line="150" w:lineRule="exact"/>
        <w:rPr>
          <w:rFonts w:ascii="Arial" w:cs="Arial" w:eastAsia="Arial" w:hAnsi="Arial"/>
          <w:sz w:val="19"/>
          <w:szCs w:val="19"/>
          <w:color w:val="auto"/>
        </w:rPr>
      </w:pPr>
    </w:p>
    <w:p>
      <w:pPr>
        <w:ind w:right="200" w:firstLine="656"/>
        <w:spacing w:after="0" w:line="253" w:lineRule="auto"/>
        <w:tabs>
          <w:tab w:leader="none" w:pos="129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40"/>
          </w:cols>
          <w:pgMar w:left="320" w:top="1428" w:right="339" w:bottom="1440" w:gutter="0" w:footer="0" w:header="0"/>
        </w:sectPr>
      </w:pPr>
    </w:p>
    <w:bookmarkStart w:id="242" w:name="page243"/>
    <w:bookmarkEnd w:id="242"/>
    <w:p>
      <w:pPr>
        <w:ind w:left="-80" w:firstLine="656"/>
        <w:spacing w:after="0" w:line="260" w:lineRule="auto"/>
        <w:tabs>
          <w:tab w:leader="none" w:pos="1216" w:val="left"/>
        </w:tabs>
        <w:numPr>
          <w:ilvl w:val="0"/>
          <w:numId w:val="174"/>
        </w:numPr>
        <w:rPr>
          <w:rFonts w:ascii="Arial" w:cs="Arial" w:eastAsia="Arial" w:hAnsi="Arial"/>
          <w:sz w:val="21"/>
          <w:szCs w:val="21"/>
          <w:color w:val="auto"/>
        </w:rPr>
      </w:pPr>
      <w:r>
        <w:rPr>
          <w:rFonts w:ascii="Arial" w:cs="Arial" w:eastAsia="Arial" w:hAnsi="Arial"/>
          <w:sz w:val="21"/>
          <w:szCs w:val="21"/>
          <w:color w:val="auto"/>
        </w:rPr>
        <w:t xml:space="preserve">This agreement shall automatically terminate and the undersigned will be released from all obligations hereunder upon the earliest to occur, if any, of (a) the Company, on the one hand, or the Representatives, on the other hand, advising the other in writing that it has determined not to proceed with the Public Offering prior to the execution of the Underwriting Agreement, (b) the date the Registration Statement is withdrawn, if prior to the Public Offering, (c) the date the Underwriting Agreement is terminated, if prior to the closing of the Public Offering, or (d) December 31, 2021, if the Underwriting Agreement has not been executed by such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Company may by written notice to the undersigned prior to December 31, 2021 extend such date for a period of up to an additional three months.</w:t>
      </w:r>
    </w:p>
    <w:p>
      <w:pPr>
        <w:spacing w:after="0" w:line="180" w:lineRule="exact"/>
        <w:rPr>
          <w:rFonts w:ascii="Arial" w:cs="Arial" w:eastAsia="Arial" w:hAnsi="Arial"/>
          <w:sz w:val="21"/>
          <w:szCs w:val="21"/>
          <w:color w:val="auto"/>
        </w:rPr>
      </w:pPr>
    </w:p>
    <w:p>
      <w:pPr>
        <w:jc w:val="both"/>
        <w:ind w:left="-80" w:right="20" w:firstLine="656"/>
        <w:spacing w:after="0" w:line="265" w:lineRule="auto"/>
        <w:tabs>
          <w:tab w:leader="none" w:pos="1208" w:val="left"/>
        </w:tabs>
        <w:numPr>
          <w:ilvl w:val="0"/>
          <w:numId w:val="174"/>
        </w:numPr>
        <w:rPr>
          <w:rFonts w:ascii="Arial" w:cs="Arial" w:eastAsia="Arial" w:hAnsi="Arial"/>
          <w:sz w:val="21"/>
          <w:szCs w:val="21"/>
          <w:color w:val="auto"/>
        </w:rPr>
      </w:pPr>
      <w:r>
        <w:rPr>
          <w:rFonts w:ascii="Arial" w:cs="Arial" w:eastAsia="Arial" w:hAnsi="Arial"/>
          <w:sz w:val="21"/>
          <w:szCs w:val="21"/>
          <w:color w:val="auto"/>
        </w:rPr>
        <w:t>Signatures may be delivered via facsimile, electronic mail (including any electronic signature covered by the U.S. federal ESIGN Act of 2000, Uniform Electronic Transactions Act, the New York Electronic Signatures and Records Act or other applicable law, e.g., www.docusign.com) or other transmission method and any signature so delivered shall be deemed to have been duly and validly delivered and be valid and effective for all purposes.</w:t>
      </w:r>
    </w:p>
    <w:p>
      <w:pPr>
        <w:spacing w:after="0" w:line="175" w:lineRule="exact"/>
        <w:rPr>
          <w:rFonts w:ascii="Arial" w:cs="Arial" w:eastAsia="Arial" w:hAnsi="Arial"/>
          <w:sz w:val="21"/>
          <w:szCs w:val="21"/>
          <w:color w:val="auto"/>
        </w:rPr>
      </w:pPr>
    </w:p>
    <w:p>
      <w:pPr>
        <w:ind w:left="6460" w:right="60" w:hanging="5884"/>
        <w:spacing w:after="0" w:line="505" w:lineRule="auto"/>
        <w:tabs>
          <w:tab w:leader="none" w:pos="1218"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This Letter Agreement shall be governed by and construed in accordance with the laws of the State of New York. Very truly yours,</w:t>
      </w:r>
    </w:p>
    <w:p>
      <w:pPr>
        <w:spacing w:after="0" w:line="2"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15875</wp:posOffset>
            </wp:positionV>
            <wp:extent cx="25971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4"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Name:</w:t>
      </w:r>
    </w:p>
    <w:p>
      <w:pPr>
        <w:spacing w:after="0" w:line="31"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080"/>
          </w:cols>
          <w:pgMar w:left="400" w:top="1428" w:right="419" w:bottom="1440" w:gutter="0" w:footer="0" w:header="0"/>
        </w:sectPr>
      </w:pPr>
    </w:p>
    <w:bookmarkStart w:id="243" w:name="page244"/>
    <w:bookmarkEnd w:id="243"/>
    <w:p>
      <w:pPr>
        <w:jc w:val="right"/>
        <w:spacing w:after="0"/>
        <w:rPr>
          <w:sz w:val="20"/>
          <w:szCs w:val="20"/>
          <w:color w:val="auto"/>
        </w:rPr>
      </w:pPr>
      <w:r>
        <w:rPr>
          <w:rFonts w:ascii="Arial" w:cs="Arial" w:eastAsia="Arial" w:hAnsi="Arial"/>
          <w:sz w:val="22"/>
          <w:szCs w:val="22"/>
          <w:b w:val="1"/>
          <w:bCs w:val="1"/>
          <w:color w:val="auto"/>
        </w:rPr>
        <w:t>EXHIBIT B</w:t>
      </w:r>
    </w:p>
    <w:p>
      <w:pPr>
        <w:spacing w:after="0" w:line="166"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FORM OF WAIVER OF LOCK-UP</w:t>
      </w:r>
    </w:p>
    <w:p>
      <w:pPr>
        <w:spacing w:after="0" w:line="1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 20__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and Address of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Officer or Director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Requesting Waiver]</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Dear Mr./Ms. [Name]:</w:t>
      </w:r>
    </w:p>
    <w:p>
      <w:pPr>
        <w:spacing w:after="0" w:line="166" w:lineRule="exact"/>
        <w:rPr>
          <w:sz w:val="20"/>
          <w:szCs w:val="20"/>
          <w:color w:val="auto"/>
        </w:rPr>
      </w:pPr>
    </w:p>
    <w:p>
      <w:pPr>
        <w:ind w:right="380" w:firstLine="648"/>
        <w:spacing w:after="0" w:line="291" w:lineRule="auto"/>
        <w:rPr>
          <w:sz w:val="20"/>
          <w:szCs w:val="20"/>
          <w:color w:val="auto"/>
        </w:rPr>
      </w:pPr>
      <w:r>
        <w:rPr>
          <w:rFonts w:ascii="Arial" w:cs="Arial" w:eastAsia="Arial" w:hAnsi="Arial"/>
          <w:sz w:val="19"/>
          <w:szCs w:val="19"/>
          <w:color w:val="auto"/>
        </w:rPr>
        <w:t>This letter is being delivered to Morgan Stanley &amp; Co. LLC and KeyBanc Capital Markets Inc. in connection with the offering by Nerdwallet, Inc. (the “</w:t>
      </w:r>
      <w:r>
        <w:rPr>
          <w:rFonts w:ascii="Arial" w:cs="Arial" w:eastAsia="Arial" w:hAnsi="Arial"/>
          <w:sz w:val="19"/>
          <w:szCs w:val="19"/>
          <w:b w:val="1"/>
          <w:bCs w:val="1"/>
          <w:color w:val="auto"/>
        </w:rPr>
        <w:t>Company</w:t>
      </w:r>
      <w:r>
        <w:rPr>
          <w:rFonts w:ascii="Arial" w:cs="Arial" w:eastAsia="Arial" w:hAnsi="Arial"/>
          <w:sz w:val="19"/>
          <w:szCs w:val="19"/>
          <w:color w:val="auto"/>
        </w:rPr>
        <w:t>”) of _____ shares of Class A common stock, $0.0001 par value (the “</w:t>
      </w:r>
      <w:r>
        <w:rPr>
          <w:rFonts w:ascii="Arial" w:cs="Arial" w:eastAsia="Arial" w:hAnsi="Arial"/>
          <w:sz w:val="19"/>
          <w:szCs w:val="19"/>
          <w:b w:val="1"/>
          <w:bCs w:val="1"/>
          <w:color w:val="auto"/>
        </w:rPr>
        <w:t>Common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w:t>
      </w:r>
      <w:r>
        <w:rPr>
          <w:rFonts w:ascii="Arial" w:cs="Arial" w:eastAsia="Arial" w:hAnsi="Arial"/>
          <w:sz w:val="21"/>
          <w:szCs w:val="21"/>
          <w:color w:val="auto"/>
        </w:rPr>
        <w:t>”), of the Company and the lock-up agreement dated ____, 2021 (the “</w:t>
      </w:r>
      <w:r>
        <w:rPr>
          <w:rFonts w:ascii="Arial" w:cs="Arial" w:eastAsia="Arial" w:hAnsi="Arial"/>
          <w:sz w:val="21"/>
          <w:szCs w:val="21"/>
          <w:b w:val="1"/>
          <w:bCs w:val="1"/>
          <w:color w:val="auto"/>
        </w:rPr>
        <w:t>Lock-up Agreement</w:t>
      </w:r>
      <w:r>
        <w:rPr>
          <w:rFonts w:ascii="Arial" w:cs="Arial" w:eastAsia="Arial" w:hAnsi="Arial"/>
          <w:sz w:val="21"/>
          <w:szCs w:val="21"/>
          <w:color w:val="auto"/>
        </w:rPr>
        <w:t>”), executed by you in</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connection with such offering, and your request for a [waiver] [release] dated ____, 20 __, with respect to ____ shares of</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Common Stock (the “</w:t>
      </w:r>
      <w:r>
        <w:rPr>
          <w:rFonts w:ascii="Arial" w:cs="Arial" w:eastAsia="Arial" w:hAnsi="Arial"/>
          <w:sz w:val="22"/>
          <w:szCs w:val="22"/>
          <w:b w:val="1"/>
          <w:bCs w:val="1"/>
          <w:color w:val="auto"/>
        </w:rPr>
        <w:t>Shares</w:t>
      </w:r>
      <w:r>
        <w:rPr>
          <w:rFonts w:ascii="Arial" w:cs="Arial" w:eastAsia="Arial" w:hAnsi="Arial"/>
          <w:sz w:val="22"/>
          <w:szCs w:val="22"/>
          <w:color w:val="auto"/>
        </w:rPr>
        <w:t>”).</w:t>
      </w:r>
    </w:p>
    <w:p>
      <w:pPr>
        <w:spacing w:after="0" w:line="148" w:lineRule="exact"/>
        <w:rPr>
          <w:sz w:val="20"/>
          <w:szCs w:val="20"/>
          <w:color w:val="auto"/>
        </w:rPr>
      </w:pPr>
    </w:p>
    <w:p>
      <w:pPr>
        <w:ind w:right="160" w:firstLine="648"/>
        <w:spacing w:after="0" w:line="291" w:lineRule="auto"/>
        <w:rPr>
          <w:sz w:val="20"/>
          <w:szCs w:val="20"/>
          <w:color w:val="auto"/>
        </w:rPr>
      </w:pPr>
      <w:r>
        <w:rPr>
          <w:rFonts w:ascii="Arial" w:cs="Arial" w:eastAsia="Arial" w:hAnsi="Arial"/>
          <w:sz w:val="19"/>
          <w:szCs w:val="19"/>
          <w:color w:val="auto"/>
        </w:rPr>
        <w:t>Morgan Stanley &amp; Co. LLC and KeyBanc Capital Markets Inc. hereby agree to [waive] [release] the transfer restrictions set forth in the Lock-up Agreement, but only with respect to the Shares, effective _____, 20__; provided, however, that such</w:t>
      </w:r>
    </w:p>
    <w:p>
      <w:pPr>
        <w:spacing w:after="0" w:line="1" w:lineRule="exact"/>
        <w:rPr>
          <w:sz w:val="20"/>
          <w:szCs w:val="20"/>
          <w:color w:val="auto"/>
        </w:rPr>
      </w:pPr>
    </w:p>
    <w:p>
      <w:pPr>
        <w:ind w:right="160"/>
        <w:spacing w:after="0" w:line="245" w:lineRule="auto"/>
        <w:rPr>
          <w:sz w:val="20"/>
          <w:szCs w:val="20"/>
          <w:color w:val="auto"/>
        </w:rPr>
      </w:pPr>
      <w:r>
        <w:rPr>
          <w:rFonts w:ascii="Arial" w:cs="Arial" w:eastAsia="Arial" w:hAnsi="Arial"/>
          <w:sz w:val="22"/>
          <w:szCs w:val="22"/>
          <w:color w:val="auto"/>
        </w:rPr>
        <w:t>[waiver]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40"/>
          </w:cols>
          <w:pgMar w:left="320" w:top="1422" w:right="339" w:bottom="1440" w:gutter="0" w:footer="0" w:header="0"/>
        </w:sectPr>
      </w:pPr>
    </w:p>
    <w:bookmarkStart w:id="244" w:name="page245"/>
    <w:bookmarkEnd w:id="244"/>
    <w:p>
      <w:pPr>
        <w:ind w:left="660"/>
        <w:spacing w:after="0"/>
        <w:rPr>
          <w:sz w:val="20"/>
          <w:szCs w:val="20"/>
          <w:color w:val="auto"/>
        </w:rPr>
      </w:pPr>
      <w:r>
        <w:rPr>
          <w:rFonts w:ascii="Arial" w:cs="Arial" w:eastAsia="Arial" w:hAnsi="Arial"/>
          <w:sz w:val="21"/>
          <w:szCs w:val="21"/>
          <w:color w:val="auto"/>
        </w:rPr>
        <w:t>Except as expressly [waived] [released] hereby, the Lock-up Agreement shall remain in full force and effect.</w:t>
      </w:r>
    </w:p>
    <w:p>
      <w:pPr>
        <w:spacing w:after="0" w:line="21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Very truly yours,</w:t>
      </w:r>
    </w:p>
    <w:p>
      <w:pPr>
        <w:spacing w:after="0" w:line="301"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Morgan Stanley &amp; Co. LLC</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Acting severally on behalf of themselves and the several</w:t>
      </w:r>
    </w:p>
    <w:p>
      <w:pPr>
        <w:ind w:left="6000"/>
        <w:spacing w:after="0"/>
        <w:rPr>
          <w:sz w:val="20"/>
          <w:szCs w:val="20"/>
          <w:color w:val="auto"/>
        </w:rPr>
      </w:pPr>
      <w:r>
        <w:rPr>
          <w:rFonts w:ascii="Arial" w:cs="Arial" w:eastAsia="Arial" w:hAnsi="Arial"/>
          <w:sz w:val="22"/>
          <w:szCs w:val="22"/>
          <w:color w:val="auto"/>
        </w:rPr>
        <w:t>Underwriters named in Schedule I hereto</w:t>
      </w:r>
    </w:p>
    <w:p>
      <w:pPr>
        <w:spacing w:after="0" w:line="296"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24130</wp:posOffset>
            </wp:positionV>
            <wp:extent cx="29400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51"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KeyBanc Capital Markets Inc.</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Acting severally on behalf of themselves and the several</w:t>
      </w:r>
    </w:p>
    <w:p>
      <w:pPr>
        <w:spacing w:after="0" w:line="21"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Underwriters named in Schedule I hereto</w:t>
      </w:r>
    </w:p>
    <w:p>
      <w:pPr>
        <w:spacing w:after="0" w:line="310"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24130</wp:posOffset>
            </wp:positionV>
            <wp:extent cx="29400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51"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Title: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cc: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0880"/>
          </w:cols>
          <w:pgMar w:left="320" w:top="1428" w:right="69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22"/>
          <w:szCs w:val="22"/>
          <w:b w:val="1"/>
          <w:bCs w:val="1"/>
          <w:color w:val="auto"/>
        </w:rPr>
        <w:t>FORM OF PRESS RELEASE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Nerdwallet,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42"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Nerdwallet, Inc. (the “</w:t>
      </w:r>
      <w:r>
        <w:rPr>
          <w:rFonts w:ascii="Arial" w:cs="Arial" w:eastAsia="Arial" w:hAnsi="Arial"/>
          <w:sz w:val="19"/>
          <w:szCs w:val="19"/>
          <w:b w:val="1"/>
          <w:bCs w:val="1"/>
          <w:color w:val="auto"/>
        </w:rPr>
        <w:t>Company</w:t>
      </w:r>
      <w:r>
        <w:rPr>
          <w:rFonts w:ascii="Arial" w:cs="Arial" w:eastAsia="Arial" w:hAnsi="Arial"/>
          <w:sz w:val="19"/>
          <w:szCs w:val="19"/>
          <w:color w:val="auto"/>
        </w:rPr>
        <w:t>”) announced today that Morgan Stanley &amp; Co. LLC and KeyBanc Capital Markets Inc., the lead book-running managers in the Company’s recent public sale of _____ shares of its Class A common stock are [waiving]</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[releasing] a lock-up restriction with respect to ____ shares of the Company’s Class A common stock held by [certain officers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directors] [an officer or director] of the Company. The [waiver][release] will take effect on ____, 20__, and the shares may be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sold on or after such date.</w:t>
      </w:r>
    </w:p>
    <w:p>
      <w:pPr>
        <w:spacing w:after="0" w:line="142"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220"/>
          </w:cols>
          <w:pgMar w:left="320" w:top="1422" w:right="359" w:bottom="1440" w:gutter="0" w:footer="0" w:header="0"/>
        </w:sectPr>
      </w:pPr>
    </w:p>
    <w:bookmarkStart w:id="246" w:name="page247"/>
    <w:bookmarkEnd w:id="246"/>
    <w:p>
      <w:pPr>
        <w:jc w:val="right"/>
        <w:spacing w:after="0"/>
        <w:rPr>
          <w:sz w:val="20"/>
          <w:szCs w:val="20"/>
          <w:color w:val="auto"/>
        </w:rPr>
      </w:pPr>
      <w:r>
        <w:rPr>
          <w:rFonts w:ascii="Arial" w:cs="Arial" w:eastAsia="Arial" w:hAnsi="Arial"/>
          <w:sz w:val="22"/>
          <w:szCs w:val="22"/>
          <w:b w:val="1"/>
          <w:bCs w:val="1"/>
          <w:color w:val="auto"/>
        </w:rPr>
        <w:t>EXHIBIT C</w:t>
      </w:r>
    </w:p>
    <w:p>
      <w:pPr>
        <w:spacing w:after="0" w:line="166"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auto"/>
        </w:rPr>
        <w:t>CHIEF FINANCIAL OFFICER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0120"/>
          </w:cols>
          <w:pgMar w:left="1440" w:top="1422"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AMENDMENT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 AMENDED AND RESTATED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INCORPORATION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NERDWALLET, INC.</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undersigned Tim Chen hereby certifies that:</w:t>
      </w:r>
    </w:p>
    <w:p>
      <w:pPr>
        <w:spacing w:after="0" w:line="216"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20"/>
          <w:szCs w:val="20"/>
          <w:color w:val="020202"/>
        </w:rPr>
      </w:pPr>
      <w:r>
        <w:rPr>
          <w:rFonts w:ascii="Arial" w:cs="Arial" w:eastAsia="Arial" w:hAnsi="Arial"/>
          <w:sz w:val="20"/>
          <w:szCs w:val="20"/>
          <w:color w:val="auto"/>
        </w:rPr>
        <w:t>He is the duly elected and acting President of NerdWallet, Inc., a Delaware corporation.</w:t>
      </w:r>
    </w:p>
    <w:p>
      <w:pPr>
        <w:spacing w:after="0" w:line="215" w:lineRule="exact"/>
        <w:rPr>
          <w:rFonts w:ascii="Arial" w:cs="Arial" w:eastAsia="Arial" w:hAnsi="Arial"/>
          <w:sz w:val="20"/>
          <w:szCs w:val="20"/>
          <w:color w:val="020202"/>
        </w:rPr>
      </w:pPr>
    </w:p>
    <w:p>
      <w:pPr>
        <w:ind w:firstLine="332"/>
        <w:spacing w:after="0" w:line="260" w:lineRule="auto"/>
        <w:tabs>
          <w:tab w:leader="none" w:pos="648" w:val="left"/>
        </w:tabs>
        <w:numPr>
          <w:ilvl w:val="0"/>
          <w:numId w:val="175"/>
        </w:numPr>
        <w:rPr>
          <w:rFonts w:ascii="Arial" w:cs="Arial" w:eastAsia="Arial" w:hAnsi="Arial"/>
          <w:sz w:val="20"/>
          <w:szCs w:val="20"/>
          <w:color w:val="020202"/>
        </w:rPr>
      </w:pPr>
      <w:r>
        <w:rPr>
          <w:rFonts w:ascii="Arial" w:cs="Arial" w:eastAsia="Arial" w:hAnsi="Arial"/>
          <w:sz w:val="20"/>
          <w:szCs w:val="20"/>
          <w:color w:val="auto"/>
        </w:rPr>
        <w:t>The date of filing the original Certificate of Incorporation of this corporation with the Secretary of State of Delaware was December 29, 2011.</w:t>
      </w:r>
    </w:p>
    <w:p>
      <w:pPr>
        <w:spacing w:after="0" w:line="176" w:lineRule="exact"/>
        <w:rPr>
          <w:rFonts w:ascii="Arial" w:cs="Arial" w:eastAsia="Arial" w:hAnsi="Arial"/>
          <w:sz w:val="20"/>
          <w:szCs w:val="20"/>
          <w:color w:val="020202"/>
        </w:rPr>
      </w:pPr>
    </w:p>
    <w:p>
      <w:pPr>
        <w:ind w:firstLine="332"/>
        <w:spacing w:after="0" w:line="316" w:lineRule="auto"/>
        <w:tabs>
          <w:tab w:leader="none" w:pos="648" w:val="left"/>
        </w:tabs>
        <w:numPr>
          <w:ilvl w:val="0"/>
          <w:numId w:val="175"/>
        </w:numPr>
        <w:rPr>
          <w:rFonts w:ascii="Arial" w:cs="Arial" w:eastAsia="Arial" w:hAnsi="Arial"/>
          <w:sz w:val="18"/>
          <w:szCs w:val="18"/>
          <w:color w:val="020202"/>
        </w:rPr>
      </w:pPr>
      <w:r>
        <w:rPr>
          <w:rFonts w:ascii="Arial" w:cs="Arial" w:eastAsia="Arial" w:hAnsi="Arial"/>
          <w:sz w:val="18"/>
          <w:szCs w:val="18"/>
          <w:color w:val="auto"/>
        </w:rPr>
        <w:t>Pursuant to Sections 141 and 242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this Certificate of Amendment to the Amended and Restated Certificate of Incorporation amends this corporation’s Certificate of Incorporation as follows:</w:t>
      </w:r>
    </w:p>
    <w:p>
      <w:pPr>
        <w:spacing w:after="0" w:line="129" w:lineRule="exact"/>
        <w:rPr>
          <w:rFonts w:ascii="Arial" w:cs="Arial" w:eastAsia="Arial" w:hAnsi="Arial"/>
          <w:sz w:val="18"/>
          <w:szCs w:val="18"/>
          <w:color w:val="020202"/>
        </w:rPr>
      </w:pPr>
    </w:p>
    <w:p>
      <w:pPr>
        <w:ind w:left="1300" w:right="20" w:hanging="320"/>
        <w:spacing w:after="0" w:line="260" w:lineRule="auto"/>
        <w:tabs>
          <w:tab w:leader="none" w:pos="129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The second paragraph of Article IV of this corporation’s Amended and Restated Certificate of Incorporation is amended to read in its entirety as follows:</w:t>
      </w:r>
    </w:p>
    <w:p>
      <w:pPr>
        <w:spacing w:after="0" w:line="176" w:lineRule="exact"/>
        <w:rPr>
          <w:rFonts w:ascii="Arial" w:cs="Arial" w:eastAsia="Arial" w:hAnsi="Arial"/>
          <w:sz w:val="20"/>
          <w:szCs w:val="20"/>
          <w:color w:val="auto"/>
        </w:rPr>
      </w:pPr>
    </w:p>
    <w:p>
      <w:pPr>
        <w:jc w:val="both"/>
        <w:ind w:left="1300"/>
        <w:spacing w:after="0" w:line="244" w:lineRule="auto"/>
        <w:rPr>
          <w:rFonts w:ascii="Arial" w:cs="Arial" w:eastAsia="Arial" w:hAnsi="Arial"/>
          <w:sz w:val="20"/>
          <w:szCs w:val="20"/>
          <w:color w:val="auto"/>
        </w:rPr>
      </w:pPr>
      <w:r>
        <w:rPr>
          <w:rFonts w:ascii="Arial" w:cs="Arial" w:eastAsia="Arial" w:hAnsi="Arial"/>
          <w:sz w:val="20"/>
          <w:szCs w:val="20"/>
          <w:color w:val="auto"/>
        </w:rPr>
        <w:t>“The total number of shares of stock that the Corporation shall have authority to issue is (i) 265,000,000 shares of Class A Common Stock, $0.0001 par value per share (the “Class A Common Stock”), (ii) 31,686,000 shares of Class F Common Stock, $0.0001 par value per share (the “Class F Common Stock”, and together with the Class A Common Stock, the “Common Stock”) and (iii) 8,650,628 shares of Series A Preferred Stock, $0.0001 par value per share (the “Preferred Stock”).</w:t>
      </w:r>
    </w:p>
    <w:p>
      <w:pPr>
        <w:spacing w:after="0" w:line="194" w:lineRule="exact"/>
        <w:rPr>
          <w:rFonts w:ascii="Arial" w:cs="Arial" w:eastAsia="Arial" w:hAnsi="Arial"/>
          <w:sz w:val="20"/>
          <w:szCs w:val="20"/>
          <w:color w:val="auto"/>
        </w:rPr>
      </w:pPr>
    </w:p>
    <w:p>
      <w:pPr>
        <w:ind w:left="1300" w:hanging="320"/>
        <w:spacing w:after="0" w:line="260" w:lineRule="auto"/>
        <w:tabs>
          <w:tab w:leader="none" w:pos="1266" w:val="left"/>
        </w:tabs>
        <w:numPr>
          <w:ilvl w:val="1"/>
          <w:numId w:val="175"/>
        </w:numPr>
        <w:rPr>
          <w:rFonts w:ascii="Arial" w:cs="Arial" w:eastAsia="Arial" w:hAnsi="Arial"/>
          <w:sz w:val="20"/>
          <w:szCs w:val="20"/>
          <w:color w:val="auto"/>
        </w:rPr>
      </w:pPr>
      <w:r>
        <w:rPr>
          <w:rFonts w:ascii="Arial" w:cs="Arial" w:eastAsia="Arial" w:hAnsi="Arial"/>
          <w:sz w:val="20"/>
          <w:szCs w:val="20"/>
          <w:color w:val="auto"/>
        </w:rPr>
        <w:t>Article IV.B Section 4.1.1 of this corporation’s Amended and Restated Certificate of Incorporation is amended to read in its entirety as follows:</w:t>
      </w:r>
    </w:p>
    <w:p>
      <w:pPr>
        <w:spacing w:after="0" w:line="17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8"/>
          <w:szCs w:val="18"/>
          <w:u w:val="single" w:color="auto"/>
          <w:color w:val="auto"/>
        </w:rPr>
        <w:t>Conversion Ratio</w:t>
      </w:r>
      <w:r>
        <w:rPr>
          <w:rFonts w:ascii="Arial" w:cs="Arial" w:eastAsia="Arial" w:hAnsi="Arial"/>
          <w:sz w:val="18"/>
          <w:szCs w:val="18"/>
          <w:color w:val="auto"/>
        </w:rPr>
        <w:t>.</w:t>
      </w:r>
    </w:p>
    <w:p>
      <w:pPr>
        <w:spacing w:after="0" w:line="202" w:lineRule="exact"/>
        <w:rPr>
          <w:sz w:val="20"/>
          <w:szCs w:val="20"/>
          <w:color w:val="auto"/>
        </w:rPr>
      </w:pPr>
    </w:p>
    <w:p>
      <w:pPr>
        <w:jc w:val="both"/>
        <w:ind w:left="1300" w:right="660" w:firstLine="814"/>
        <w:spacing w:after="0" w:line="274" w:lineRule="auto"/>
        <w:tabs>
          <w:tab w:leader="none" w:pos="259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Except as otherwise set forth in subsection 4.1.1(b) below, each share of Series A Preferred Stock shall be convertible, at the option of the holder thereof, at any time and from time to time, and without the payment of additional consideration by the holder thereof, into such number of fully paid and non-assessable shares of Class A Common Stock as is determined by dividing the Series A Original Issue Price by the Series A Conversion Price (as defined below) in effect at the time of conversion. The “</w:t>
      </w:r>
      <w:r>
        <w:rPr>
          <w:rFonts w:ascii="Arial" w:cs="Arial" w:eastAsia="Arial" w:hAnsi="Arial"/>
          <w:sz w:val="18"/>
          <w:szCs w:val="18"/>
          <w:b w:val="1"/>
          <w:bCs w:val="1"/>
          <w:color w:val="auto"/>
        </w:rPr>
        <w:t>Series A Conversion Price</w:t>
      </w:r>
      <w:r>
        <w:rPr>
          <w:rFonts w:ascii="Arial" w:cs="Arial" w:eastAsia="Arial" w:hAnsi="Arial"/>
          <w:sz w:val="18"/>
          <w:szCs w:val="18"/>
          <w:color w:val="auto"/>
        </w:rPr>
        <w:t>” shall initially be equal to $8.9796. Such initial Series A Conversion Price, and the rate at which shares of Series A Preferred Stock may be converted into shares of Class A Common Stock, shall be subject to adjustment as provided below.</w:t>
      </w:r>
    </w:p>
    <w:p>
      <w:pPr>
        <w:spacing w:after="0" w:line="168" w:lineRule="exact"/>
        <w:rPr>
          <w:rFonts w:ascii="Arial" w:cs="Arial" w:eastAsia="Arial" w:hAnsi="Arial"/>
          <w:sz w:val="18"/>
          <w:szCs w:val="18"/>
          <w:color w:val="auto"/>
        </w:rPr>
      </w:pPr>
    </w:p>
    <w:p>
      <w:pPr>
        <w:jc w:val="both"/>
        <w:ind w:left="1300" w:right="660" w:firstLine="1300"/>
        <w:spacing w:after="0" w:line="250" w:lineRule="auto"/>
        <w:tabs>
          <w:tab w:leader="none" w:pos="3066" w:val="left"/>
        </w:tabs>
        <w:numPr>
          <w:ilvl w:val="1"/>
          <w:numId w:val="176"/>
        </w:numPr>
        <w:rPr>
          <w:rFonts w:ascii="Arial" w:cs="Arial" w:eastAsia="Arial" w:hAnsi="Arial"/>
          <w:sz w:val="20"/>
          <w:szCs w:val="20"/>
          <w:color w:val="auto"/>
        </w:rPr>
      </w:pPr>
      <w:r>
        <w:rPr>
          <w:rFonts w:ascii="Arial" w:cs="Arial" w:eastAsia="Arial" w:hAnsi="Arial"/>
          <w:sz w:val="20"/>
          <w:szCs w:val="20"/>
          <w:color w:val="auto"/>
        </w:rPr>
        <w:t>Notwithstanding the foregoing, if the conversion of Series A Preferred Stock is in connection with an Initial Offering (as defined below) in which the initial public offering price of shares of Class A common stock to the public (the “</w:t>
      </w:r>
      <w:r>
        <w:rPr>
          <w:rFonts w:ascii="Arial" w:cs="Arial" w:eastAsia="Arial" w:hAnsi="Arial"/>
          <w:sz w:val="20"/>
          <w:szCs w:val="20"/>
          <w:b w:val="1"/>
          <w:bCs w:val="1"/>
          <w:color w:val="auto"/>
        </w:rPr>
        <w:t>Initial Offering Price</w:t>
      </w:r>
      <w:r>
        <w:rPr>
          <w:rFonts w:ascii="Arial" w:cs="Arial" w:eastAsia="Arial" w:hAnsi="Arial"/>
          <w:sz w:val="20"/>
          <w:szCs w:val="20"/>
          <w:color w:val="auto"/>
        </w:rPr>
        <w:t>”) is less than $17.9592 per share</w:t>
      </w:r>
    </w:p>
    <w:p>
      <w:pPr>
        <w:sectPr>
          <w:pgSz w:w="11900" w:h="16838" w:orient="portrait"/>
          <w:cols w:equalWidth="0" w:num="1">
            <w:col w:w="11240"/>
          </w:cols>
          <w:pgMar w:left="320" w:top="121" w:right="339" w:bottom="1440" w:gutter="0" w:footer="0" w:header="0"/>
        </w:sectPr>
      </w:pPr>
    </w:p>
    <w:bookmarkStart w:id="248" w:name="page249"/>
    <w:bookmarkEnd w:id="248"/>
    <w:p>
      <w:pPr>
        <w:jc w:val="both"/>
        <w:ind w:left="968" w:right="640"/>
        <w:spacing w:after="0" w:line="244" w:lineRule="auto"/>
        <w:rPr>
          <w:sz w:val="20"/>
          <w:szCs w:val="20"/>
          <w:color w:val="auto"/>
        </w:rPr>
      </w:pPr>
      <w:r>
        <w:rPr>
          <w:rFonts w:ascii="Arial" w:cs="Arial" w:eastAsia="Arial" w:hAnsi="Arial"/>
          <w:sz w:val="20"/>
          <w:szCs w:val="20"/>
          <w:color w:val="auto"/>
        </w:rPr>
        <w:t>(subject to appropriate adjustment in the event of any stock dividend, stock split, combination or other similar recapitalization with respect to the Class A Common Stock) (the “</w:t>
      </w:r>
      <w:r>
        <w:rPr>
          <w:rFonts w:ascii="Arial" w:cs="Arial" w:eastAsia="Arial" w:hAnsi="Arial"/>
          <w:sz w:val="20"/>
          <w:szCs w:val="20"/>
          <w:b w:val="1"/>
          <w:bCs w:val="1"/>
          <w:color w:val="auto"/>
        </w:rPr>
        <w:t>Minimum Offering Price</w:t>
      </w:r>
      <w:r>
        <w:rPr>
          <w:rFonts w:ascii="Arial" w:cs="Arial" w:eastAsia="Arial" w:hAnsi="Arial"/>
          <w:sz w:val="20"/>
          <w:szCs w:val="20"/>
          <w:color w:val="auto"/>
        </w:rPr>
        <w:t>”), then each share of Series A Preferred Stock shall be convertible, without the payment of additional consideration by the holder thereof, into such number of fully paid and non-assessable shares of Class A Common Stock as is determined by dividing the Minimum Offering Price by the Initial Offering Price.”</w:t>
      </w:r>
    </w:p>
    <w:p>
      <w:pPr>
        <w:spacing w:after="0" w:line="194" w:lineRule="exact"/>
        <w:rPr>
          <w:sz w:val="20"/>
          <w:szCs w:val="20"/>
          <w:color w:val="auto"/>
        </w:rPr>
      </w:pPr>
    </w:p>
    <w:p>
      <w:pPr>
        <w:ind w:left="968" w:hanging="320"/>
        <w:spacing w:after="0" w:line="260" w:lineRule="auto"/>
        <w:tabs>
          <w:tab w:leader="none" w:pos="958" w:val="left"/>
        </w:tabs>
        <w:numPr>
          <w:ilvl w:val="1"/>
          <w:numId w:val="177"/>
        </w:numPr>
        <w:rPr>
          <w:rFonts w:ascii="Arial" w:cs="Arial" w:eastAsia="Arial" w:hAnsi="Arial"/>
          <w:sz w:val="20"/>
          <w:szCs w:val="20"/>
          <w:color w:val="020202"/>
        </w:rPr>
      </w:pPr>
      <w:r>
        <w:rPr>
          <w:rFonts w:ascii="Arial" w:cs="Arial" w:eastAsia="Arial" w:hAnsi="Arial"/>
          <w:sz w:val="20"/>
          <w:szCs w:val="20"/>
          <w:color w:val="auto"/>
        </w:rPr>
        <w:t>Article IV.B Section 5.1 of this corporation’s Amended and Restated Certificate of Incorporation is amended to read in its entirety as follows:</w:t>
      </w:r>
    </w:p>
    <w:p>
      <w:pPr>
        <w:spacing w:after="0" w:line="176" w:lineRule="exact"/>
        <w:rPr>
          <w:rFonts w:ascii="Arial" w:cs="Arial" w:eastAsia="Arial" w:hAnsi="Arial"/>
          <w:sz w:val="20"/>
          <w:szCs w:val="20"/>
          <w:color w:val="020202"/>
        </w:rPr>
      </w:pPr>
    </w:p>
    <w:p>
      <w:pPr>
        <w:jc w:val="both"/>
        <w:ind w:left="968"/>
        <w:spacing w:after="0" w:line="256" w:lineRule="auto"/>
        <w:rPr>
          <w:rFonts w:ascii="Arial" w:cs="Arial" w:eastAsia="Arial" w:hAnsi="Arial"/>
          <w:sz w:val="20"/>
          <w:szCs w:val="20"/>
          <w:color w:val="020202"/>
        </w:rPr>
      </w:pPr>
      <w:r>
        <w:rPr>
          <w:rFonts w:ascii="Arial" w:cs="Arial" w:eastAsia="Arial" w:hAnsi="Arial"/>
          <w:sz w:val="19"/>
          <w:szCs w:val="19"/>
          <w:color w:val="040404"/>
        </w:rPr>
        <w:t xml:space="preserve">“5.1 </w:t>
      </w:r>
      <w:r>
        <w:rPr>
          <w:rFonts w:ascii="Arial" w:cs="Arial" w:eastAsia="Arial" w:hAnsi="Arial"/>
          <w:sz w:val="19"/>
          <w:szCs w:val="19"/>
          <w:u w:val="single" w:color="auto"/>
          <w:color w:val="040404"/>
        </w:rPr>
        <w:t>Trigger Events</w:t>
      </w:r>
      <w:r>
        <w:rPr>
          <w:rFonts w:ascii="Arial" w:cs="Arial" w:eastAsia="Arial" w:hAnsi="Arial"/>
          <w:sz w:val="19"/>
          <w:szCs w:val="19"/>
          <w:color w:val="040404"/>
        </w:rPr>
        <w:t xml:space="preserve">. Upon either (a) the closing of the sale of shares of </w:t>
      </w:r>
      <w:r>
        <w:rPr>
          <w:rFonts w:ascii="Arial" w:cs="Arial" w:eastAsia="Arial" w:hAnsi="Arial"/>
          <w:sz w:val="19"/>
          <w:szCs w:val="19"/>
          <w:color w:val="000000"/>
        </w:rPr>
        <w:t>Common Stock to the public in a firm-commitment</w:t>
      </w:r>
      <w:r>
        <w:rPr>
          <w:rFonts w:ascii="Arial" w:cs="Arial" w:eastAsia="Arial" w:hAnsi="Arial"/>
          <w:sz w:val="19"/>
          <w:szCs w:val="19"/>
          <w:color w:val="040404"/>
        </w:rPr>
        <w:t xml:space="preserve"> </w:t>
      </w:r>
      <w:r>
        <w:rPr>
          <w:rFonts w:ascii="Arial" w:cs="Arial" w:eastAsia="Arial" w:hAnsi="Arial"/>
          <w:sz w:val="19"/>
          <w:szCs w:val="19"/>
          <w:color w:val="000000"/>
        </w:rPr>
        <w:t>underwritten public offering pursuant to an effective registration statement under the Securities Act of 1933, as amended, resulting in at least $50,000,000 of proceeds, net of the underwriting discount and commissions, to the Corporation (an “</w:t>
      </w:r>
      <w:r>
        <w:rPr>
          <w:rFonts w:ascii="Arial" w:cs="Arial" w:eastAsia="Arial" w:hAnsi="Arial"/>
          <w:sz w:val="19"/>
          <w:szCs w:val="19"/>
          <w:b w:val="1"/>
          <w:bCs w:val="1"/>
          <w:color w:val="000000"/>
        </w:rPr>
        <w:t>Initial Offering</w:t>
      </w:r>
      <w:r>
        <w:rPr>
          <w:rFonts w:ascii="Arial" w:cs="Arial" w:eastAsia="Arial" w:hAnsi="Arial"/>
          <w:sz w:val="19"/>
          <w:szCs w:val="19"/>
          <w:color w:val="000000"/>
        </w:rPr>
        <w:t>”) or (b) the date and time, or the occurrence of an event, specified by vote or written consent of the holders of at least majority of the then outstanding shares of Series A Preferred Stock (the time of such closing or the date and time specified or the time of the event specified in such vote or written consent is referred to herein as the “</w:t>
      </w:r>
      <w:r>
        <w:rPr>
          <w:rFonts w:ascii="Arial" w:cs="Arial" w:eastAsia="Arial" w:hAnsi="Arial"/>
          <w:sz w:val="19"/>
          <w:szCs w:val="19"/>
          <w:b w:val="1"/>
          <w:bCs w:val="1"/>
          <w:color w:val="000000"/>
        </w:rPr>
        <w:t>Mandatory</w:t>
      </w:r>
      <w:r>
        <w:rPr>
          <w:rFonts w:ascii="Arial" w:cs="Arial" w:eastAsia="Arial" w:hAnsi="Arial"/>
          <w:sz w:val="19"/>
          <w:szCs w:val="19"/>
          <w:color w:val="000000"/>
        </w:rPr>
        <w:t xml:space="preserve"> </w:t>
      </w:r>
      <w:r>
        <w:rPr>
          <w:rFonts w:ascii="Arial" w:cs="Arial" w:eastAsia="Arial" w:hAnsi="Arial"/>
          <w:sz w:val="19"/>
          <w:szCs w:val="19"/>
          <w:b w:val="1"/>
          <w:bCs w:val="1"/>
          <w:color w:val="000000"/>
        </w:rPr>
        <w:t>Conversion Time</w:t>
      </w:r>
      <w:r>
        <w:rPr>
          <w:rFonts w:ascii="Arial" w:cs="Arial" w:eastAsia="Arial" w:hAnsi="Arial"/>
          <w:sz w:val="19"/>
          <w:szCs w:val="19"/>
          <w:color w:val="000000"/>
        </w:rPr>
        <w:t>”)</w:t>
      </w:r>
      <w:r>
        <w:rPr>
          <w:rFonts w:ascii="Arial" w:cs="Arial" w:eastAsia="Arial" w:hAnsi="Arial"/>
          <w:sz w:val="19"/>
          <w:szCs w:val="19"/>
          <w:b w:val="1"/>
          <w:bCs w:val="1"/>
          <w:color w:val="000000"/>
        </w:rPr>
        <w:t xml:space="preserve">, </w:t>
      </w:r>
      <w:r>
        <w:rPr>
          <w:rFonts w:ascii="Arial" w:cs="Arial" w:eastAsia="Arial" w:hAnsi="Arial"/>
          <w:sz w:val="19"/>
          <w:szCs w:val="19"/>
          <w:color w:val="000000"/>
        </w:rPr>
        <w:t>then (i) all outstanding shares of Series A Preferred Stock shall automatically be converted into shares</w:t>
      </w:r>
      <w:r>
        <w:rPr>
          <w:rFonts w:ascii="Arial" w:cs="Arial" w:eastAsia="Arial" w:hAnsi="Arial"/>
          <w:sz w:val="19"/>
          <w:szCs w:val="19"/>
          <w:b w:val="1"/>
          <w:bCs w:val="1"/>
          <w:color w:val="000000"/>
        </w:rPr>
        <w:t xml:space="preserve"> </w:t>
      </w:r>
      <w:r>
        <w:rPr>
          <w:rFonts w:ascii="Arial" w:cs="Arial" w:eastAsia="Arial" w:hAnsi="Arial"/>
          <w:sz w:val="19"/>
          <w:szCs w:val="19"/>
          <w:color w:val="000000"/>
        </w:rPr>
        <w:t xml:space="preserve">of Class A Common Stock, at the then effective conversion rate as calculated pursuant to </w:t>
      </w:r>
      <w:r>
        <w:rPr>
          <w:rFonts w:ascii="Arial" w:cs="Arial" w:eastAsia="Arial" w:hAnsi="Arial"/>
          <w:sz w:val="19"/>
          <w:szCs w:val="19"/>
          <w:u w:val="single" w:color="auto"/>
          <w:color w:val="000000"/>
        </w:rPr>
        <w:t>Subsection 4.1.1</w:t>
      </w:r>
      <w:r>
        <w:rPr>
          <w:rFonts w:ascii="Arial" w:cs="Arial" w:eastAsia="Arial" w:hAnsi="Arial"/>
          <w:sz w:val="19"/>
          <w:szCs w:val="19"/>
          <w:color w:val="000000"/>
        </w:rPr>
        <w:t>. and (ii) such shares may not be reissued by the Corporation.”</w:t>
      </w:r>
    </w:p>
    <w:p>
      <w:pPr>
        <w:spacing w:after="0" w:line="184" w:lineRule="exact"/>
        <w:rPr>
          <w:rFonts w:ascii="Arial" w:cs="Arial" w:eastAsia="Arial" w:hAnsi="Arial"/>
          <w:sz w:val="20"/>
          <w:szCs w:val="20"/>
          <w:color w:val="020202"/>
        </w:rPr>
      </w:pPr>
    </w:p>
    <w:p>
      <w:pPr>
        <w:ind w:left="328" w:hanging="328"/>
        <w:spacing w:after="0" w:line="287" w:lineRule="auto"/>
        <w:tabs>
          <w:tab w:leader="none" w:pos="32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foregoing Certificate of Amendment has been duly adopted by this corporation’s Board of Directors and stockholders in accordance with the applicable provisions of Sections 228 and 242 of the 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32"/>
        <w:spacing w:after="0"/>
        <w:tabs>
          <w:tab w:leader="none" w:pos="180" w:val="left"/>
        </w:tabs>
        <w:rPr>
          <w:sz w:val="20"/>
          <w:szCs w:val="20"/>
          <w:color w:val="auto"/>
        </w:rPr>
      </w:pPr>
      <w:r>
        <w:rPr>
          <w:rFonts w:ascii="Arial" w:cs="Arial" w:eastAsia="Arial" w:hAnsi="Arial"/>
          <w:sz w:val="20"/>
          <w:szCs w:val="20"/>
          <w:color w:val="010101"/>
        </w:rPr>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08"/>
          </w:cols>
          <w:pgMar w:left="652" w:top="1419" w:right="339" w:bottom="1440" w:gutter="0" w:footer="0" w:header="0"/>
        </w:sectPr>
      </w:pPr>
    </w:p>
    <w:bookmarkStart w:id="249" w:name="page250"/>
    <w:bookmarkEnd w:id="249"/>
    <w:p>
      <w:pPr>
        <w:ind w:firstLine="1296"/>
        <w:spacing w:after="0" w:line="260" w:lineRule="auto"/>
        <w:rPr>
          <w:sz w:val="20"/>
          <w:szCs w:val="20"/>
          <w:color w:val="auto"/>
        </w:rPr>
      </w:pPr>
      <w:r>
        <w:rPr>
          <w:rFonts w:ascii="Arial" w:cs="Arial" w:eastAsia="Arial" w:hAnsi="Arial"/>
          <w:sz w:val="20"/>
          <w:szCs w:val="20"/>
          <w:color w:val="auto"/>
        </w:rPr>
        <w:t>The undersigned has signed this Certificate of Amendment to Amended and Restated Certificate of Incorporation on this 26th day of October, 2021.</w:t>
      </w:r>
    </w:p>
    <w:p>
      <w:pPr>
        <w:spacing w:after="0" w:line="217" w:lineRule="exact"/>
        <w:rPr>
          <w:sz w:val="20"/>
          <w:szCs w:val="20"/>
          <w:color w:val="auto"/>
        </w:rPr>
      </w:pPr>
    </w:p>
    <w:p>
      <w:pPr>
        <w:ind w:left="7980"/>
        <w:spacing w:after="0"/>
        <w:rPr>
          <w:sz w:val="20"/>
          <w:szCs w:val="20"/>
          <w:color w:val="auto"/>
        </w:rPr>
      </w:pPr>
      <w:r>
        <w:rPr>
          <w:rFonts w:ascii="Arial" w:cs="Arial" w:eastAsia="Arial" w:hAnsi="Arial"/>
          <w:sz w:val="20"/>
          <w:szCs w:val="20"/>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10160</wp:posOffset>
            </wp:positionV>
            <wp:extent cx="20828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7" w:lineRule="exact"/>
        <w:rPr>
          <w:sz w:val="20"/>
          <w:szCs w:val="20"/>
          <w:color w:val="auto"/>
        </w:rPr>
      </w:pPr>
    </w:p>
    <w:p>
      <w:pPr>
        <w:ind w:left="7980"/>
        <w:spacing w:after="0"/>
        <w:rPr>
          <w:sz w:val="20"/>
          <w:szCs w:val="20"/>
          <w:color w:val="auto"/>
        </w:rPr>
      </w:pPr>
      <w:r>
        <w:rPr>
          <w:rFonts w:ascii="Arial" w:cs="Arial" w:eastAsia="Arial" w:hAnsi="Arial"/>
          <w:sz w:val="20"/>
          <w:szCs w:val="20"/>
          <w:color w:val="auto"/>
        </w:rPr>
        <w:t>Tim Chen</w:t>
      </w:r>
    </w:p>
    <w:p>
      <w:pPr>
        <w:spacing w:after="0" w:line="283" w:lineRule="exact"/>
        <w:rPr>
          <w:sz w:val="20"/>
          <w:szCs w:val="20"/>
          <w:color w:val="auto"/>
        </w:rPr>
      </w:pPr>
    </w:p>
    <w:p>
      <w:pPr>
        <w:ind w:left="798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NerdWallet,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Certificate of Amendment to Amended and Restated Certificate of Incorporation</w:t>
      </w:r>
    </w:p>
    <w:p>
      <w:pPr>
        <w:sectPr>
          <w:pgSz w:w="11900" w:h="16838" w:orient="portrait"/>
          <w:cols w:equalWidth="0" w:num="1">
            <w:col w:w="11220"/>
          </w:cols>
          <w:pgMar w:left="320" w:top="1419" w:right="35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[Post Effective Amendment]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Incorporation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NerdWallet,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Tim Chen does hereby certify:</w:t>
      </w:r>
    </w:p>
    <w:p>
      <w:pPr>
        <w:spacing w:after="0" w:line="200" w:lineRule="exact"/>
        <w:rPr>
          <w:sz w:val="20"/>
          <w:szCs w:val="20"/>
          <w:color w:val="auto"/>
        </w:rPr>
      </w:pPr>
    </w:p>
    <w:p>
      <w:pPr>
        <w:spacing w:after="0" w:line="22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ONE: </w:t>
      </w:r>
      <w:r>
        <w:rPr>
          <w:rFonts w:ascii="Arial" w:cs="Arial" w:eastAsia="Arial" w:hAnsi="Arial"/>
          <w:sz w:val="20"/>
          <w:szCs w:val="20"/>
          <w:color w:val="auto"/>
        </w:rPr>
        <w:t>The original date of filing the original Certificate of Incorporation of this company with the Secretary of State of the State</w:t>
      </w:r>
      <w:r>
        <w:rPr>
          <w:rFonts w:ascii="Arial" w:cs="Arial" w:eastAsia="Arial" w:hAnsi="Arial"/>
          <w:sz w:val="20"/>
          <w:szCs w:val="20"/>
          <w:b w:val="1"/>
          <w:bCs w:val="1"/>
          <w:color w:val="auto"/>
        </w:rPr>
        <w:t xml:space="preserve"> </w:t>
      </w:r>
      <w:r>
        <w:rPr>
          <w:rFonts w:ascii="Arial" w:cs="Arial" w:eastAsia="Arial" w:hAnsi="Arial"/>
          <w:sz w:val="20"/>
          <w:szCs w:val="20"/>
          <w:color w:val="auto"/>
        </w:rPr>
        <w:t>of Delaware was December 29, 2011.</w:t>
      </w:r>
    </w:p>
    <w:p>
      <w:pPr>
        <w:spacing w:after="0" w:line="163"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0"/>
          <w:szCs w:val="20"/>
          <w:b w:val="1"/>
          <w:bCs w:val="1"/>
          <w:color w:val="auto"/>
        </w:rPr>
        <w:t>TWO:</w:t>
      </w:r>
      <w:r>
        <w:rPr>
          <w:sz w:val="20"/>
          <w:szCs w:val="20"/>
          <w:color w:val="auto"/>
        </w:rPr>
        <w:tab/>
      </w:r>
      <w:r>
        <w:rPr>
          <w:rFonts w:ascii="Arial" w:cs="Arial" w:eastAsia="Arial" w:hAnsi="Arial"/>
          <w:sz w:val="20"/>
          <w:szCs w:val="20"/>
          <w:color w:val="auto"/>
        </w:rPr>
        <w:t xml:space="preserve">He is the duly elected and acting Chief Executive Officer of </w:t>
      </w:r>
      <w:r>
        <w:rPr>
          <w:rFonts w:ascii="Arial" w:cs="Arial" w:eastAsia="Arial" w:hAnsi="Arial"/>
          <w:sz w:val="20"/>
          <w:szCs w:val="20"/>
          <w:b w:val="1"/>
          <w:bCs w:val="1"/>
          <w:color w:val="auto"/>
        </w:rPr>
        <w:t>NerdWallet, Inc.</w:t>
      </w:r>
      <w:r>
        <w:rPr>
          <w:rFonts w:ascii="Arial" w:cs="Arial" w:eastAsia="Arial" w:hAnsi="Arial"/>
          <w:sz w:val="20"/>
          <w:szCs w:val="20"/>
          <w:color w:val="auto"/>
        </w:rPr>
        <w:t>, a Delaware corporation.</w:t>
      </w:r>
    </w:p>
    <w:p>
      <w:pPr>
        <w:spacing w:after="0" w:line="21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THREE: </w:t>
      </w:r>
      <w:r>
        <w:rPr>
          <w:rFonts w:ascii="Arial" w:cs="Arial" w:eastAsia="Arial" w:hAnsi="Arial"/>
          <w:sz w:val="20"/>
          <w:szCs w:val="20"/>
          <w:color w:val="auto"/>
        </w:rPr>
        <w:t>The Second Amended and Restated Certificate of Incorporation of this corporation, as amended to date, is hereby</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and restated in its entirety to read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name of this company is NerdWallet,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II.</w:t>
      </w:r>
    </w:p>
    <w:p>
      <w:pPr>
        <w:spacing w:after="0" w:line="216"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color w:val="auto"/>
        </w:rPr>
        <w:t xml:space="preserve">The address of the Company’s registered office in the State of Delaware is </w:t>
      </w:r>
      <w:r>
        <w:rPr>
          <w:rFonts w:ascii="Arial" w:cs="Arial" w:eastAsia="Arial" w:hAnsi="Arial"/>
          <w:sz w:val="18"/>
          <w:szCs w:val="18"/>
          <w:b w:val="1"/>
          <w:bCs w:val="1"/>
          <w:color w:val="auto"/>
        </w:rPr>
        <w:t>Business Filings Incorporated, 108 West 13th Street, in</w:t>
      </w:r>
      <w:r>
        <w:rPr>
          <w:rFonts w:ascii="Arial" w:cs="Arial" w:eastAsia="Arial" w:hAnsi="Arial"/>
          <w:sz w:val="18"/>
          <w:szCs w:val="18"/>
          <w:color w:val="auto"/>
        </w:rPr>
        <w:t xml:space="preserve"> </w:t>
      </w:r>
      <w:r>
        <w:rPr>
          <w:rFonts w:ascii="Arial" w:cs="Arial" w:eastAsia="Arial" w:hAnsi="Arial"/>
          <w:sz w:val="18"/>
          <w:szCs w:val="18"/>
          <w:b w:val="1"/>
          <w:bCs w:val="1"/>
          <w:color w:val="auto"/>
        </w:rPr>
        <w:t>the City of Wilmington, County of New Castle</w:t>
      </w:r>
      <w:r>
        <w:rPr>
          <w:rFonts w:ascii="Arial" w:cs="Arial" w:eastAsia="Arial" w:hAnsi="Arial"/>
          <w:sz w:val="18"/>
          <w:szCs w:val="18"/>
          <w:color w:val="auto"/>
        </w:rPr>
        <w:t>. The name of its registered agent at such address is</w:t>
      </w:r>
      <w:r>
        <w:rPr>
          <w:rFonts w:ascii="Arial" w:cs="Arial" w:eastAsia="Arial" w:hAnsi="Arial"/>
          <w:sz w:val="18"/>
          <w:szCs w:val="18"/>
          <w:b w:val="1"/>
          <w:bCs w:val="1"/>
          <w:color w:val="auto"/>
        </w:rPr>
        <w:t xml:space="preserve"> Business Filings Incorporated</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III.</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purpose of the Company is to engage in any lawful act or activity for which a corporation may be organized under the General Corporation Law of the State of Delaware (“</w:t>
      </w:r>
      <w:r>
        <w:rPr>
          <w:rFonts w:ascii="Arial" w:cs="Arial" w:eastAsia="Arial" w:hAnsi="Arial"/>
          <w:sz w:val="20"/>
          <w:szCs w:val="20"/>
          <w:b w:val="1"/>
          <w:bCs w:val="1"/>
          <w:i w:val="1"/>
          <w:iCs w:val="1"/>
          <w:color w:val="auto"/>
        </w:rPr>
        <w:t>DGCL</w:t>
      </w:r>
      <w:r>
        <w:rPr>
          <w:rFonts w:ascii="Arial" w:cs="Arial" w:eastAsia="Arial" w:hAnsi="Arial"/>
          <w:sz w:val="20"/>
          <w:szCs w:val="20"/>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IV.</w:t>
      </w:r>
    </w:p>
    <w:p>
      <w:pPr>
        <w:spacing w:after="0" w:line="222" w:lineRule="exact"/>
        <w:rPr>
          <w:sz w:val="20"/>
          <w:szCs w:val="20"/>
          <w:color w:val="auto"/>
        </w:rPr>
      </w:pPr>
    </w:p>
    <w:p>
      <w:pPr>
        <w:jc w:val="both"/>
        <w:ind w:firstLine="656"/>
        <w:spacing w:after="0" w:line="272" w:lineRule="auto"/>
        <w:tabs>
          <w:tab w:leader="none" w:pos="1079"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The Company is authorized to issue three classes of stock to be designated, respectively, “Class A Common Stock,” “Class B Common Stock,” and “Preferred Stock.” The total number of shares that the Company is authorized to issue is 301,686,000 shares, 265,000,000 shares of which shall be Class A Common Stock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31,686,000 shares of which shall be Class B Common Stock (the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and together with the Class A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5,000,000 shares of which shall be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Preferred Stock shall have a par value of $0.0001 per share and the Common Stock shall have a par value of $0.0001 per share. Effective immediately upon the filing of this Amended and Restated Certificate of Incorporation of the Company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each share of Class F Common Stock, par value $0.0001 per share, of the Company (“</w:t>
      </w:r>
      <w:r>
        <w:rPr>
          <w:rFonts w:ascii="Arial" w:cs="Arial" w:eastAsia="Arial" w:hAnsi="Arial"/>
          <w:sz w:val="18"/>
          <w:szCs w:val="18"/>
          <w:b w:val="1"/>
          <w:bCs w:val="1"/>
          <w:i w:val="1"/>
          <w:iCs w:val="1"/>
          <w:color w:val="auto"/>
        </w:rPr>
        <w:t>Pre-IPO Class F Stock</w:t>
      </w:r>
      <w:r>
        <w:rPr>
          <w:rFonts w:ascii="Arial" w:cs="Arial" w:eastAsia="Arial" w:hAnsi="Arial"/>
          <w:sz w:val="18"/>
          <w:szCs w:val="18"/>
          <w:color w:val="auto"/>
        </w:rPr>
        <w:t>”) issued and outstanding immediately prior to the Effective Time shall automatically be reclassified as and become one share of Class B Common Stock. Certificates representing shares of Pre-IPO Class F Stock prior to the Effective Time shall,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251" w:name="page252"/>
    <w:bookmarkEnd w:id="251"/>
    <w:p>
      <w:pPr>
        <w:ind w:right="20"/>
        <w:spacing w:after="0" w:line="316" w:lineRule="auto"/>
        <w:rPr>
          <w:sz w:val="20"/>
          <w:szCs w:val="20"/>
          <w:color w:val="auto"/>
        </w:rPr>
      </w:pPr>
      <w:r>
        <w:rPr>
          <w:rFonts w:ascii="Arial" w:cs="Arial" w:eastAsia="Arial" w:hAnsi="Arial"/>
          <w:sz w:val="18"/>
          <w:szCs w:val="18"/>
          <w:color w:val="auto"/>
        </w:rPr>
        <w:t>and after the Effective Time, no longer represent shares of Pre-IPO Class F Stock and shall represent only the number of shares of Class B Common Stock into which the shares of Pre-IPO Stock previously represented by such certificate were reclassified pursuant hereto.</w:t>
      </w:r>
    </w:p>
    <w:p>
      <w:pPr>
        <w:spacing w:after="0" w:line="130" w:lineRule="exact"/>
        <w:rPr>
          <w:sz w:val="20"/>
          <w:szCs w:val="20"/>
          <w:color w:val="auto"/>
        </w:rPr>
      </w:pPr>
    </w:p>
    <w:p>
      <w:pPr>
        <w:jc w:val="both"/>
        <w:ind w:firstLine="656"/>
        <w:spacing w:after="0" w:line="257" w:lineRule="auto"/>
        <w:tabs>
          <w:tab w:leader="none" w:pos="1054" w:val="left"/>
        </w:tabs>
        <w:numPr>
          <w:ilvl w:val="0"/>
          <w:numId w:val="180"/>
        </w:numPr>
        <w:rPr>
          <w:rFonts w:ascii="Arial" w:cs="Arial" w:eastAsia="Arial" w:hAnsi="Arial"/>
          <w:sz w:val="19"/>
          <w:szCs w:val="19"/>
          <w:b w:val="1"/>
          <w:bCs w:val="1"/>
          <w:color w:val="auto"/>
        </w:rPr>
      </w:pPr>
      <w:r>
        <w:rPr>
          <w:rFonts w:ascii="Arial" w:cs="Arial" w:eastAsia="Arial" w:hAnsi="Arial"/>
          <w:sz w:val="19"/>
          <w:szCs w:val="19"/>
          <w:color w:val="auto"/>
        </w:rPr>
        <w:t>The Preferred Stock may be issued from time to time in one or more series. The Board of Directors of the Company is hereby expressly authorized by resolution or resolutions to provide for the issue of all or any of the shares of the Preferred Stock in one or more series, and to fix the number of shares of such series and to determine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(but not above the authorized number of shares of Preferred Stock) or decrease (but not below the number of shares of such series then outstanding) the number of shares of any series subsequent to the issuance of shares of that series.</w:t>
      </w:r>
    </w:p>
    <w:p>
      <w:pPr>
        <w:spacing w:after="0" w:line="180" w:lineRule="exact"/>
        <w:rPr>
          <w:sz w:val="20"/>
          <w:szCs w:val="20"/>
          <w:color w:val="auto"/>
        </w:rPr>
      </w:pPr>
    </w:p>
    <w:p>
      <w:pPr>
        <w:jc w:val="both"/>
        <w:ind w:firstLine="656"/>
        <w:spacing w:after="0" w:line="278" w:lineRule="auto"/>
        <w:tabs>
          <w:tab w:leader="none" w:pos="1079"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The number of authorized shares of Preferred Stock, Class A Common Stock or Class B Common Stock may be increased or decreased (but not below the number of shares thereof then outstanding) by the affirmative vote of the holders of a majority of the voting power of all of the outstanding shares of stock of the Company entitled to vote thereon, without a separate vote of the holders of the Preferred Stock, or of any series thereof, Class A Common Stock or Class B Common Stock unless a vote of any such holders is required pursuant to the terms of the Certificate of Incorporation or any certificate of designation filed with respect to any series of Preferred Stock.</w:t>
      </w:r>
    </w:p>
    <w:p>
      <w:pPr>
        <w:spacing w:after="0" w:line="164" w:lineRule="exact"/>
        <w:rPr>
          <w:rFonts w:ascii="Arial" w:cs="Arial" w:eastAsia="Arial" w:hAnsi="Arial"/>
          <w:sz w:val="18"/>
          <w:szCs w:val="18"/>
          <w:b w:val="1"/>
          <w:bCs w:val="1"/>
          <w:color w:val="auto"/>
        </w:rPr>
      </w:pPr>
    </w:p>
    <w:p>
      <w:pPr>
        <w:ind w:right="20" w:firstLine="656"/>
        <w:spacing w:after="0" w:line="260" w:lineRule="auto"/>
        <w:tabs>
          <w:tab w:leader="none" w:pos="1108" w:val="left"/>
        </w:tabs>
        <w:numPr>
          <w:ilvl w:val="0"/>
          <w:numId w:val="181"/>
        </w:numPr>
        <w:rPr>
          <w:rFonts w:ascii="Arial" w:cs="Arial" w:eastAsia="Arial" w:hAnsi="Arial"/>
          <w:sz w:val="20"/>
          <w:szCs w:val="20"/>
          <w:b w:val="1"/>
          <w:bCs w:val="1"/>
          <w:color w:val="auto"/>
        </w:rPr>
      </w:pPr>
      <w:r>
        <w:rPr>
          <w:rFonts w:ascii="Arial" w:cs="Arial" w:eastAsia="Arial" w:hAnsi="Arial"/>
          <w:sz w:val="20"/>
          <w:szCs w:val="20"/>
          <w:color w:val="auto"/>
        </w:rPr>
        <w:t>Except as provided above, the rights, preferences, privileges, restrictions and other matters relating to the Class A Common Stock and Class B Common Stock are as follows:</w:t>
      </w:r>
    </w:p>
    <w:p>
      <w:pPr>
        <w:spacing w:after="0" w:line="170" w:lineRule="exact"/>
        <w:rPr>
          <w:rFonts w:ascii="Arial" w:cs="Arial" w:eastAsia="Arial" w:hAnsi="Arial"/>
          <w:sz w:val="20"/>
          <w:szCs w:val="20"/>
          <w:b w:val="1"/>
          <w:bCs w:val="1"/>
          <w:color w:val="auto"/>
        </w:rPr>
      </w:pPr>
    </w:p>
    <w:p>
      <w:pPr>
        <w:ind w:left="1660" w:hanging="356"/>
        <w:spacing w:after="0"/>
        <w:tabs>
          <w:tab w:leader="none" w:pos="1660" w:val="left"/>
        </w:tabs>
        <w:numPr>
          <w:ilvl w:val="1"/>
          <w:numId w:val="181"/>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1952"/>
        <w:spacing w:after="0" w:line="243" w:lineRule="auto"/>
        <w:tabs>
          <w:tab w:leader="none" w:pos="2386" w:val="left"/>
        </w:tabs>
        <w:numPr>
          <w:ilvl w:val="2"/>
          <w:numId w:val="18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Acquisition</w:t>
      </w:r>
      <w:r>
        <w:rPr>
          <w:rFonts w:ascii="Arial" w:cs="Arial" w:eastAsia="Arial" w:hAnsi="Arial"/>
          <w:sz w:val="20"/>
          <w:szCs w:val="20"/>
          <w:color w:val="auto"/>
        </w:rPr>
        <w:t>” means any consolidation or merger of the Company with or into any other Entity, other than any such consolidation or merger in which the stockholders of the Company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Company is a party in which in excess of 50% of the Company’s voting power is transferred or issued; provided that an Acquisition shall not include any transaction or series of transactions principally for bona fide equity financing purposes.</w:t>
      </w:r>
    </w:p>
    <w:p>
      <w:pPr>
        <w:spacing w:after="0" w:line="192" w:lineRule="exact"/>
        <w:rPr>
          <w:rFonts w:ascii="Arial" w:cs="Arial" w:eastAsia="Arial" w:hAnsi="Arial"/>
          <w:sz w:val="20"/>
          <w:szCs w:val="20"/>
          <w:b w:val="1"/>
          <w:bCs w:val="1"/>
          <w:color w:val="auto"/>
        </w:rPr>
      </w:pPr>
    </w:p>
    <w:p>
      <w:pPr>
        <w:ind w:left="2400" w:hanging="448"/>
        <w:spacing w:after="0"/>
        <w:tabs>
          <w:tab w:leader="none" w:pos="2400" w:val="left"/>
        </w:tabs>
        <w:numPr>
          <w:ilvl w:val="2"/>
          <w:numId w:val="18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Asset Transfer</w:t>
      </w:r>
      <w:r>
        <w:rPr>
          <w:rFonts w:ascii="Arial" w:cs="Arial" w:eastAsia="Arial" w:hAnsi="Arial"/>
          <w:sz w:val="19"/>
          <w:szCs w:val="19"/>
          <w:color w:val="auto"/>
        </w:rPr>
        <w:t>” means the sale, lease or exchange of all or substantially all the assets of the Company.</w:t>
      </w:r>
    </w:p>
    <w:p>
      <w:pPr>
        <w:spacing w:after="0" w:line="227" w:lineRule="exact"/>
        <w:rPr>
          <w:rFonts w:ascii="Arial" w:cs="Arial" w:eastAsia="Arial" w:hAnsi="Arial"/>
          <w:sz w:val="19"/>
          <w:szCs w:val="19"/>
          <w:b w:val="1"/>
          <w:bCs w:val="1"/>
          <w:color w:val="auto"/>
        </w:rPr>
      </w:pPr>
    </w:p>
    <w:p>
      <w:pPr>
        <w:ind w:left="2360" w:hanging="408"/>
        <w:spacing w:after="0"/>
        <w:tabs>
          <w:tab w:leader="none" w:pos="2360" w:val="left"/>
        </w:tabs>
        <w:numPr>
          <w:ilvl w:val="2"/>
          <w:numId w:val="18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Bylaws</w:t>
      </w:r>
      <w:r>
        <w:rPr>
          <w:rFonts w:ascii="Arial" w:cs="Arial" w:eastAsia="Arial" w:hAnsi="Arial"/>
          <w:sz w:val="20"/>
          <w:szCs w:val="20"/>
          <w:color w:val="auto"/>
        </w:rPr>
        <w:t>” means the Bylaws of the Company.</w:t>
      </w:r>
    </w:p>
    <w:p>
      <w:pPr>
        <w:spacing w:after="0" w:line="215" w:lineRule="exact"/>
        <w:rPr>
          <w:rFonts w:ascii="Arial" w:cs="Arial" w:eastAsia="Arial" w:hAnsi="Arial"/>
          <w:sz w:val="20"/>
          <w:szCs w:val="20"/>
          <w:b w:val="1"/>
          <w:bCs w:val="1"/>
          <w:color w:val="auto"/>
        </w:rPr>
      </w:pPr>
    </w:p>
    <w:p>
      <w:pPr>
        <w:ind w:right="20" w:firstLine="1952"/>
        <w:spacing w:after="0" w:line="260" w:lineRule="auto"/>
        <w:tabs>
          <w:tab w:leader="none" w:pos="2492" w:val="left"/>
        </w:tabs>
        <w:numPr>
          <w:ilvl w:val="2"/>
          <w:numId w:val="18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Certificate of Incorporation</w:t>
      </w:r>
      <w:r>
        <w:rPr>
          <w:rFonts w:ascii="Arial" w:cs="Arial" w:eastAsia="Arial" w:hAnsi="Arial"/>
          <w:sz w:val="20"/>
          <w:szCs w:val="20"/>
          <w:color w:val="auto"/>
        </w:rPr>
        <w:t>” means the certificate of incorporation of the Company, as amended and/or restated from time to time, including the terms of any certificate of designations of any series of Preferred Stock.</w:t>
      </w:r>
    </w:p>
    <w:p>
      <w:pPr>
        <w:spacing w:after="0" w:line="176" w:lineRule="exact"/>
        <w:rPr>
          <w:rFonts w:ascii="Arial" w:cs="Arial" w:eastAsia="Arial" w:hAnsi="Arial"/>
          <w:sz w:val="20"/>
          <w:szCs w:val="20"/>
          <w:b w:val="1"/>
          <w:bCs w:val="1"/>
          <w:color w:val="auto"/>
        </w:rPr>
      </w:pPr>
    </w:p>
    <w:p>
      <w:pPr>
        <w:ind w:left="2360" w:hanging="408"/>
        <w:spacing w:after="0"/>
        <w:tabs>
          <w:tab w:leader="none" w:pos="2360" w:val="left"/>
        </w:tabs>
        <w:numPr>
          <w:ilvl w:val="2"/>
          <w:numId w:val="181"/>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Class B Stockholder</w:t>
      </w:r>
      <w:r>
        <w:rPr>
          <w:rFonts w:ascii="Arial" w:cs="Arial" w:eastAsia="Arial" w:hAnsi="Arial"/>
          <w:sz w:val="20"/>
          <w:szCs w:val="20"/>
          <w:color w:val="auto"/>
        </w:rPr>
        <w:t>” shall mean any holder of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252" w:name="page253"/>
    <w:bookmarkEnd w:id="252"/>
    <w:p>
      <w:pPr>
        <w:ind w:left="2340" w:hanging="388"/>
        <w:spacing w:after="0"/>
        <w:tabs>
          <w:tab w:leader="none" w:pos="2340" w:val="left"/>
        </w:tabs>
        <w:numPr>
          <w:ilvl w:val="0"/>
          <w:numId w:val="18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Entity</w:t>
      </w:r>
      <w:r>
        <w:rPr>
          <w:rFonts w:ascii="Arial" w:cs="Arial" w:eastAsia="Arial" w:hAnsi="Arial"/>
          <w:sz w:val="20"/>
          <w:szCs w:val="20"/>
          <w:color w:val="auto"/>
        </w:rPr>
        <w:t>” means any corporation, partnership, limited liability company or other legal entity.</w:t>
      </w:r>
    </w:p>
    <w:p>
      <w:pPr>
        <w:spacing w:after="0" w:line="215" w:lineRule="exact"/>
        <w:rPr>
          <w:rFonts w:ascii="Arial" w:cs="Arial" w:eastAsia="Arial" w:hAnsi="Arial"/>
          <w:sz w:val="20"/>
          <w:szCs w:val="20"/>
          <w:b w:val="1"/>
          <w:bCs w:val="1"/>
          <w:color w:val="auto"/>
        </w:rPr>
      </w:pPr>
    </w:p>
    <w:p>
      <w:pPr>
        <w:ind w:firstLine="1952"/>
        <w:spacing w:after="0" w:line="287" w:lineRule="auto"/>
        <w:tabs>
          <w:tab w:leader="none" w:pos="2561" w:val="left"/>
        </w:tabs>
        <w:numPr>
          <w:ilvl w:val="0"/>
          <w:numId w:val="18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Family Member</w:t>
      </w:r>
      <w:r>
        <w:rPr>
          <w:rFonts w:ascii="Arial" w:cs="Arial" w:eastAsia="Arial" w:hAnsi="Arial"/>
          <w:sz w:val="19"/>
          <w:szCs w:val="19"/>
          <w:color w:val="auto"/>
        </w:rPr>
        <w:t>” means with respect to any natural person, the spouse, parents, grandparents, lineal descendants, siblings and lineal descendants of siblings (in each case whether by blood relation or adoption) of such person.</w:t>
      </w:r>
    </w:p>
    <w:p>
      <w:pPr>
        <w:spacing w:after="0" w:line="152" w:lineRule="exact"/>
        <w:rPr>
          <w:rFonts w:ascii="Arial" w:cs="Arial" w:eastAsia="Arial" w:hAnsi="Arial"/>
          <w:sz w:val="19"/>
          <w:szCs w:val="19"/>
          <w:b w:val="1"/>
          <w:bCs w:val="1"/>
          <w:color w:val="auto"/>
        </w:rPr>
      </w:pPr>
    </w:p>
    <w:p>
      <w:pPr>
        <w:jc w:val="both"/>
        <w:ind w:firstLine="1952"/>
        <w:spacing w:after="0" w:line="246" w:lineRule="auto"/>
        <w:tabs>
          <w:tab w:leader="none" w:pos="2411" w:val="left"/>
        </w:tabs>
        <w:numPr>
          <w:ilvl w:val="0"/>
          <w:numId w:val="18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Final Conversion Date</w:t>
      </w:r>
      <w:r>
        <w:rPr>
          <w:rFonts w:ascii="Arial" w:cs="Arial" w:eastAsia="Arial" w:hAnsi="Arial"/>
          <w:sz w:val="20"/>
          <w:szCs w:val="20"/>
          <w:color w:val="auto"/>
        </w:rPr>
        <w:t>” means the earlier to occur of (i) the first trading day that falls nine (9) months after the date on which there are outstanding less than 10,000,000 shares of Class B Common Stock (subject to appropriate adjustment in the event of any stock dividend, stock split, combination or other similar recapitalization with respect to the Class B Common Stock) and (ii) nine (9) months following the death or Incapacity of Tim Chen.</w:t>
      </w:r>
    </w:p>
    <w:p>
      <w:pPr>
        <w:spacing w:after="0" w:line="191" w:lineRule="exact"/>
        <w:rPr>
          <w:rFonts w:ascii="Arial" w:cs="Arial" w:eastAsia="Arial" w:hAnsi="Arial"/>
          <w:sz w:val="20"/>
          <w:szCs w:val="20"/>
          <w:b w:val="1"/>
          <w:bCs w:val="1"/>
          <w:color w:val="auto"/>
        </w:rPr>
      </w:pPr>
    </w:p>
    <w:p>
      <w:pPr>
        <w:jc w:val="both"/>
        <w:ind w:firstLine="1952"/>
        <w:spacing w:after="0" w:line="278" w:lineRule="auto"/>
        <w:tabs>
          <w:tab w:leader="none" w:pos="2423"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Incapacity</w:t>
      </w:r>
      <w:r>
        <w:rPr>
          <w:rFonts w:ascii="Arial" w:cs="Arial" w:eastAsia="Arial" w:hAnsi="Arial"/>
          <w:sz w:val="18"/>
          <w:szCs w:val="18"/>
          <w:color w:val="auto"/>
        </w:rPr>
        <w:t>” means, with respect to an individual, that such individual is incapable of managing his or her financial affairs under the 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an individual has suffered an Incapacity, no Incapacity of such individual will be deemed to have occurred unless and until an affirmative ruling regarding such Incapacity has been made by a court of competent jurisdiction.</w:t>
      </w:r>
    </w:p>
    <w:p>
      <w:pPr>
        <w:spacing w:after="0" w:line="164" w:lineRule="exact"/>
        <w:rPr>
          <w:rFonts w:ascii="Arial" w:cs="Arial" w:eastAsia="Arial" w:hAnsi="Arial"/>
          <w:sz w:val="18"/>
          <w:szCs w:val="18"/>
          <w:b w:val="1"/>
          <w:bCs w:val="1"/>
          <w:color w:val="auto"/>
        </w:rPr>
      </w:pPr>
    </w:p>
    <w:p>
      <w:pPr>
        <w:jc w:val="both"/>
        <w:ind w:firstLine="1952"/>
        <w:spacing w:after="0" w:line="244" w:lineRule="auto"/>
        <w:tabs>
          <w:tab w:leader="none" w:pos="2367" w:val="left"/>
        </w:tabs>
        <w:numPr>
          <w:ilvl w:val="0"/>
          <w:numId w:val="18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Independent Directors</w:t>
      </w:r>
      <w:r>
        <w:rPr>
          <w:rFonts w:ascii="Arial" w:cs="Arial" w:eastAsia="Arial" w:hAnsi="Arial"/>
          <w:sz w:val="20"/>
          <w:szCs w:val="20"/>
          <w:color w:val="auto"/>
        </w:rPr>
        <w:t>” mean a majority of the members of the Board designated as independent directors in accordance with the requirements of (i) any national stock exchange under which the Company’s equity securities are listed for trading that are generally applicable to companies with common equity securities listed thereon, or (ii) if the Company’s equity securities are not listed for trading on a national stock exchange, the requirements of the Nasdaq Stock Market generally applicable to companies with equity securities listed thereon.</w:t>
      </w:r>
    </w:p>
    <w:p>
      <w:pPr>
        <w:spacing w:after="0" w:line="194" w:lineRule="exact"/>
        <w:rPr>
          <w:rFonts w:ascii="Arial" w:cs="Arial" w:eastAsia="Arial" w:hAnsi="Arial"/>
          <w:sz w:val="20"/>
          <w:szCs w:val="20"/>
          <w:b w:val="1"/>
          <w:bCs w:val="1"/>
          <w:color w:val="auto"/>
        </w:rPr>
      </w:pPr>
    </w:p>
    <w:p>
      <w:pPr>
        <w:jc w:val="both"/>
        <w:ind w:firstLine="1952"/>
        <w:spacing w:after="0" w:line="259" w:lineRule="auto"/>
        <w:tabs>
          <w:tab w:leader="none" w:pos="2411" w:val="left"/>
        </w:tabs>
        <w:numPr>
          <w:ilvl w:val="0"/>
          <w:numId w:val="18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Liquidation Event</w:t>
      </w:r>
      <w:r>
        <w:rPr>
          <w:rFonts w:ascii="Arial" w:cs="Arial" w:eastAsia="Arial" w:hAnsi="Arial"/>
          <w:sz w:val="19"/>
          <w:szCs w:val="19"/>
          <w:color w:val="auto"/>
        </w:rPr>
        <w:t xml:space="preserve">” means (i) any Asset Transfer or Acquisition in which cash or other property is, pursuant to the express terms of the Asset Transfer or Acquisition, to be distributed to the stockholders in respect of their shares of capital stock in the Company or (ii) any liquidation, dissolution and winding up of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for the avoidance of doubt, compensation pursuant to any employment, consulting, severance or other compensatory arrangement to be paid to or received by a person who is also a holder of Class A Common Stock or Class B Common Stock does not constitute consideration or a “distribution to stockholders” in respect of the Class A Common Stock or Class B Common Stock.</w:t>
      </w:r>
    </w:p>
    <w:p>
      <w:pPr>
        <w:spacing w:after="0" w:line="178" w:lineRule="exact"/>
        <w:rPr>
          <w:rFonts w:ascii="Arial" w:cs="Arial" w:eastAsia="Arial" w:hAnsi="Arial"/>
          <w:sz w:val="19"/>
          <w:szCs w:val="19"/>
          <w:b w:val="1"/>
          <w:bCs w:val="1"/>
          <w:color w:val="auto"/>
        </w:rPr>
      </w:pPr>
    </w:p>
    <w:p>
      <w:pPr>
        <w:ind w:firstLine="1952"/>
        <w:spacing w:after="0" w:line="260" w:lineRule="auto"/>
        <w:tabs>
          <w:tab w:leader="none" w:pos="2410" w:val="left"/>
        </w:tabs>
        <w:numPr>
          <w:ilvl w:val="0"/>
          <w:numId w:val="18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Parent</w:t>
      </w:r>
      <w:r>
        <w:rPr>
          <w:rFonts w:ascii="Arial" w:cs="Arial" w:eastAsia="Arial" w:hAnsi="Arial"/>
          <w:sz w:val="20"/>
          <w:szCs w:val="20"/>
          <w:color w:val="auto"/>
        </w:rPr>
        <w:t>” of an Entity means any Entity that directly or indirectly owns or controls a majority of the voting power of the voting securities or interests of such Entity.</w:t>
      </w:r>
    </w:p>
    <w:p>
      <w:pPr>
        <w:spacing w:after="0" w:line="176" w:lineRule="exact"/>
        <w:rPr>
          <w:rFonts w:ascii="Arial" w:cs="Arial" w:eastAsia="Arial" w:hAnsi="Arial"/>
          <w:sz w:val="20"/>
          <w:szCs w:val="20"/>
          <w:b w:val="1"/>
          <w:bCs w:val="1"/>
          <w:color w:val="auto"/>
        </w:rPr>
      </w:pPr>
    </w:p>
    <w:p>
      <w:pPr>
        <w:jc w:val="both"/>
        <w:ind w:firstLine="1952"/>
        <w:spacing w:after="0" w:line="250" w:lineRule="auto"/>
        <w:tabs>
          <w:tab w:leader="none" w:pos="2452" w:val="left"/>
        </w:tabs>
        <w:numPr>
          <w:ilvl w:val="0"/>
          <w:numId w:val="182"/>
        </w:numPr>
        <w:rPr>
          <w:rFonts w:ascii="Arial" w:cs="Arial" w:eastAsia="Arial" w:hAnsi="Arial"/>
          <w:sz w:val="20"/>
          <w:szCs w:val="20"/>
          <w:b w:val="1"/>
          <w:bCs w:val="1"/>
          <w:color w:val="auto"/>
        </w:rPr>
      </w:pPr>
      <w:r>
        <w:rPr>
          <w:rFonts w:ascii="Arial" w:cs="Arial" w:eastAsia="Arial" w:hAnsi="Arial"/>
          <w:sz w:val="20"/>
          <w:szCs w:val="20"/>
          <w:color w:val="010101"/>
        </w:rPr>
        <w:t>“</w:t>
      </w:r>
      <w:r>
        <w:rPr>
          <w:rFonts w:ascii="Arial" w:cs="Arial" w:eastAsia="Arial" w:hAnsi="Arial"/>
          <w:sz w:val="20"/>
          <w:szCs w:val="20"/>
          <w:b w:val="1"/>
          <w:bCs w:val="1"/>
          <w:i w:val="1"/>
          <w:iCs w:val="1"/>
          <w:color w:val="010101"/>
        </w:rPr>
        <w:t>Permitted Entity</w:t>
      </w:r>
      <w:r>
        <w:rPr>
          <w:rFonts w:ascii="Arial" w:cs="Arial" w:eastAsia="Arial" w:hAnsi="Arial"/>
          <w:sz w:val="20"/>
          <w:szCs w:val="20"/>
          <w:color w:val="010101"/>
        </w:rPr>
        <w:t xml:space="preserve">” shall mean, with respect to any </w:t>
      </w:r>
      <w:r>
        <w:rPr>
          <w:rFonts w:ascii="Arial" w:cs="Arial" w:eastAsia="Arial" w:hAnsi="Arial"/>
          <w:sz w:val="20"/>
          <w:szCs w:val="20"/>
          <w:color w:val="030303"/>
        </w:rPr>
        <w:t>Class B Stockholder, any trust, account, plan, corporation,</w:t>
      </w:r>
      <w:r>
        <w:rPr>
          <w:rFonts w:ascii="Arial" w:cs="Arial" w:eastAsia="Arial" w:hAnsi="Arial"/>
          <w:sz w:val="20"/>
          <w:szCs w:val="20"/>
          <w:color w:val="010101"/>
        </w:rPr>
        <w:t xml:space="preserve"> </w:t>
      </w:r>
      <w:r>
        <w:rPr>
          <w:rFonts w:ascii="Arial" w:cs="Arial" w:eastAsia="Arial" w:hAnsi="Arial"/>
          <w:sz w:val="20"/>
          <w:szCs w:val="20"/>
          <w:color w:val="030303"/>
        </w:rPr>
        <w:t xml:space="preserve">partnership, limited liability company or other entity specified in </w:t>
      </w:r>
      <w:r>
        <w:rPr>
          <w:rFonts w:ascii="Arial" w:cs="Arial" w:eastAsia="Arial" w:hAnsi="Arial"/>
          <w:sz w:val="20"/>
          <w:szCs w:val="20"/>
          <w:u w:val="single" w:color="auto"/>
          <w:color w:val="030303"/>
        </w:rPr>
        <w:t>Subsection 5(b)</w:t>
      </w:r>
      <w:r>
        <w:rPr>
          <w:rFonts w:ascii="Arial" w:cs="Arial" w:eastAsia="Arial" w:hAnsi="Arial"/>
          <w:sz w:val="20"/>
          <w:szCs w:val="20"/>
          <w:color w:val="030303"/>
        </w:rPr>
        <w:t xml:space="preserve">, established by or for such Class B Stockholder, so long as such entity meets the requirements set forth in </w:t>
      </w:r>
      <w:r>
        <w:rPr>
          <w:rFonts w:ascii="Arial" w:cs="Arial" w:eastAsia="Arial" w:hAnsi="Arial"/>
          <w:sz w:val="20"/>
          <w:szCs w:val="20"/>
          <w:u w:val="single" w:color="auto"/>
          <w:color w:val="030303"/>
        </w:rPr>
        <w:t>Subsection 5(b)</w:t>
      </w:r>
      <w:r>
        <w:rPr>
          <w:rFonts w:ascii="Arial" w:cs="Arial" w:eastAsia="Arial" w:hAnsi="Arial"/>
          <w:sz w:val="20"/>
          <w:szCs w:val="20"/>
          <w:color w:val="030303"/>
        </w:rPr>
        <w:t>.</w:t>
      </w:r>
    </w:p>
    <w:p>
      <w:pPr>
        <w:spacing w:after="0" w:line="185" w:lineRule="exact"/>
        <w:rPr>
          <w:rFonts w:ascii="Arial" w:cs="Arial" w:eastAsia="Arial" w:hAnsi="Arial"/>
          <w:sz w:val="20"/>
          <w:szCs w:val="20"/>
          <w:b w:val="1"/>
          <w:bCs w:val="1"/>
          <w:color w:val="auto"/>
        </w:rPr>
      </w:pPr>
    </w:p>
    <w:p>
      <w:pPr>
        <w:ind w:left="2460" w:hanging="508"/>
        <w:spacing w:after="0"/>
        <w:tabs>
          <w:tab w:leader="none" w:pos="2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any day on which The Nasdaq Stock Market and the New York Stock Exchange are</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open for trading.</w:t>
      </w:r>
    </w:p>
    <w:p>
      <w:pPr>
        <w:spacing w:after="0" w:line="199" w:lineRule="exact"/>
        <w:rPr>
          <w:rFonts w:ascii="Arial" w:cs="Arial" w:eastAsia="Arial" w:hAnsi="Arial"/>
          <w:sz w:val="18"/>
          <w:szCs w:val="18"/>
          <w:b w:val="1"/>
          <w:bCs w:val="1"/>
          <w:color w:val="auto"/>
        </w:rPr>
      </w:pPr>
    </w:p>
    <w:p>
      <w:pPr>
        <w:ind w:right="20" w:firstLine="1952"/>
        <w:spacing w:after="0" w:line="260" w:lineRule="auto"/>
        <w:tabs>
          <w:tab w:leader="none" w:pos="2588" w:val="left"/>
        </w:tabs>
        <w:numPr>
          <w:ilvl w:val="0"/>
          <w:numId w:val="18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Transfer</w:t>
      </w:r>
      <w:r>
        <w:rPr>
          <w:rFonts w:ascii="Arial" w:cs="Arial" w:eastAsia="Arial" w:hAnsi="Arial"/>
          <w:sz w:val="20"/>
          <w:szCs w:val="20"/>
          <w:color w:val="auto"/>
        </w:rPr>
        <w:t>” of a share of Class B Common Stock means any sale, assignment, transfer, conveyance, hypothecation or other transfer or disposition of such share or any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253" w:name="page254"/>
    <w:bookmarkEnd w:id="253"/>
    <w:p>
      <w:pPr>
        <w:jc w:val="both"/>
        <w:spacing w:after="0" w:line="263" w:lineRule="auto"/>
        <w:rPr>
          <w:sz w:val="20"/>
          <w:szCs w:val="20"/>
          <w:color w:val="auto"/>
        </w:rPr>
      </w:pPr>
      <w:r>
        <w:rPr>
          <w:rFonts w:ascii="Arial" w:cs="Arial" w:eastAsia="Arial" w:hAnsi="Arial"/>
          <w:sz w:val="19"/>
          <w:szCs w:val="19"/>
          <w:color w:val="auto"/>
        </w:rPr>
        <w:t>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provided, however, that the following shall not be considered a “Transfer”:</w:t>
      </w:r>
    </w:p>
    <w:p>
      <w:pPr>
        <w:spacing w:after="0" w:line="176" w:lineRule="exact"/>
        <w:rPr>
          <w:sz w:val="20"/>
          <w:szCs w:val="20"/>
          <w:color w:val="auto"/>
        </w:rPr>
      </w:pPr>
    </w:p>
    <w:p>
      <w:pPr>
        <w:ind w:right="20" w:firstLine="2600"/>
        <w:spacing w:after="0" w:line="260" w:lineRule="auto"/>
        <w:tabs>
          <w:tab w:leader="none" w:pos="2990" w:val="left"/>
        </w:tabs>
        <w:numPr>
          <w:ilvl w:val="2"/>
          <w:numId w:val="183"/>
        </w:numPr>
        <w:rPr>
          <w:rFonts w:ascii="Arial" w:cs="Arial" w:eastAsia="Arial" w:hAnsi="Arial"/>
          <w:sz w:val="20"/>
          <w:szCs w:val="20"/>
          <w:b w:val="1"/>
          <w:bCs w:val="1"/>
          <w:color w:val="auto"/>
        </w:rPr>
      </w:pPr>
      <w:r>
        <w:rPr>
          <w:rFonts w:ascii="Arial" w:cs="Arial" w:eastAsia="Arial" w:hAnsi="Arial"/>
          <w:sz w:val="20"/>
          <w:szCs w:val="20"/>
          <w:color w:val="auto"/>
        </w:rPr>
        <w:t>the granting of a revocable proxy to officers or directors of the Company at the request of the Board of Directors in connection with actions to be taken at an annual or special meeting of stockholders;</w:t>
      </w:r>
    </w:p>
    <w:p>
      <w:pPr>
        <w:spacing w:after="0" w:line="176" w:lineRule="exact"/>
        <w:rPr>
          <w:rFonts w:ascii="Arial" w:cs="Arial" w:eastAsia="Arial" w:hAnsi="Arial"/>
          <w:sz w:val="20"/>
          <w:szCs w:val="20"/>
          <w:b w:val="1"/>
          <w:bCs w:val="1"/>
          <w:color w:val="auto"/>
        </w:rPr>
      </w:pPr>
    </w:p>
    <w:p>
      <w:pPr>
        <w:ind w:left="3080" w:hanging="480"/>
        <w:spacing w:after="0"/>
        <w:tabs>
          <w:tab w:leader="none" w:pos="3080" w:val="left"/>
        </w:tabs>
        <w:numPr>
          <w:ilvl w:val="2"/>
          <w:numId w:val="183"/>
        </w:numPr>
        <w:rPr>
          <w:rFonts w:ascii="Arial" w:cs="Arial" w:eastAsia="Arial" w:hAnsi="Arial"/>
          <w:sz w:val="18"/>
          <w:szCs w:val="18"/>
          <w:b w:val="1"/>
          <w:bCs w:val="1"/>
          <w:color w:val="auto"/>
        </w:rPr>
      </w:pPr>
      <w:r>
        <w:rPr>
          <w:rFonts w:ascii="Arial" w:cs="Arial" w:eastAsia="Arial" w:hAnsi="Arial"/>
          <w:sz w:val="18"/>
          <w:szCs w:val="18"/>
          <w:color w:val="auto"/>
        </w:rPr>
        <w:t>the existence of any proxy granted prior to the Effective Time or the amendment or expiration of any</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such proxy;</w:t>
      </w:r>
    </w:p>
    <w:p>
      <w:pPr>
        <w:spacing w:after="0" w:line="199" w:lineRule="exact"/>
        <w:rPr>
          <w:rFonts w:ascii="Arial" w:cs="Arial" w:eastAsia="Arial" w:hAnsi="Arial"/>
          <w:sz w:val="18"/>
          <w:szCs w:val="18"/>
          <w:b w:val="1"/>
          <w:bCs w:val="1"/>
          <w:color w:val="auto"/>
        </w:rPr>
      </w:pPr>
    </w:p>
    <w:p>
      <w:pPr>
        <w:jc w:val="both"/>
        <w:ind w:firstLine="2600"/>
        <w:spacing w:after="0" w:line="278" w:lineRule="auto"/>
        <w:tabs>
          <w:tab w:leader="none" w:pos="3113" w:val="left"/>
        </w:tabs>
        <w:numPr>
          <w:ilvl w:val="2"/>
          <w:numId w:val="183"/>
        </w:numPr>
        <w:rPr>
          <w:rFonts w:ascii="Arial" w:cs="Arial" w:eastAsia="Arial" w:hAnsi="Arial"/>
          <w:sz w:val="18"/>
          <w:szCs w:val="18"/>
          <w:b w:val="1"/>
          <w:bCs w:val="1"/>
          <w:color w:val="auto"/>
        </w:rPr>
      </w:pPr>
      <w:r>
        <w:rPr>
          <w:rFonts w:ascii="Arial" w:cs="Arial" w:eastAsia="Arial" w:hAnsi="Arial"/>
          <w:sz w:val="18"/>
          <w:szCs w:val="18"/>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year or is terminable by the holder of the shares subject thereto at any time and (C) does not involve any payment of cash, securities, property or other consideration to the holder of the shares subject thereto other than the mutual promise to vote shares in a designated manner;</w:t>
      </w:r>
    </w:p>
    <w:p>
      <w:pPr>
        <w:spacing w:after="0" w:line="164" w:lineRule="exact"/>
        <w:rPr>
          <w:rFonts w:ascii="Arial" w:cs="Arial" w:eastAsia="Arial" w:hAnsi="Arial"/>
          <w:sz w:val="18"/>
          <w:szCs w:val="18"/>
          <w:b w:val="1"/>
          <w:bCs w:val="1"/>
          <w:color w:val="auto"/>
        </w:rPr>
      </w:pPr>
    </w:p>
    <w:p>
      <w:pPr>
        <w:jc w:val="both"/>
        <w:ind w:firstLine="2600"/>
        <w:spacing w:after="0" w:line="282" w:lineRule="auto"/>
        <w:tabs>
          <w:tab w:leader="none" w:pos="3075" w:val="left"/>
        </w:tabs>
        <w:numPr>
          <w:ilvl w:val="2"/>
          <w:numId w:val="183"/>
        </w:numPr>
        <w:rPr>
          <w:rFonts w:ascii="Arial" w:cs="Arial" w:eastAsia="Arial" w:hAnsi="Arial"/>
          <w:sz w:val="18"/>
          <w:szCs w:val="18"/>
          <w:b w:val="1"/>
          <w:bCs w:val="1"/>
          <w:color w:val="auto"/>
        </w:rPr>
      </w:pPr>
      <w:r>
        <w:rPr>
          <w:rFonts w:ascii="Arial" w:cs="Arial" w:eastAsia="Arial" w:hAnsi="Arial"/>
          <w:sz w:val="18"/>
          <w:szCs w:val="18"/>
          <w:color w:val="auto"/>
        </w:rPr>
        <w:t>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“Transfer” unless such foreclosure or similar action is otherwise permitted pursuant to the terms of Section 5(b); or</w:t>
      </w:r>
    </w:p>
    <w:p>
      <w:pPr>
        <w:spacing w:after="0" w:line="161" w:lineRule="exact"/>
        <w:rPr>
          <w:rFonts w:ascii="Arial" w:cs="Arial" w:eastAsia="Arial" w:hAnsi="Arial"/>
          <w:sz w:val="18"/>
          <w:szCs w:val="18"/>
          <w:b w:val="1"/>
          <w:bCs w:val="1"/>
          <w:color w:val="auto"/>
        </w:rPr>
      </w:pPr>
    </w:p>
    <w:p>
      <w:pPr>
        <w:jc w:val="both"/>
        <w:ind w:firstLine="2600"/>
        <w:spacing w:after="0" w:line="250" w:lineRule="auto"/>
        <w:tabs>
          <w:tab w:leader="none" w:pos="3061" w:val="left"/>
        </w:tabs>
        <w:numPr>
          <w:ilvl w:val="2"/>
          <w:numId w:val="183"/>
        </w:numPr>
        <w:rPr>
          <w:rFonts w:ascii="Arial" w:cs="Arial" w:eastAsia="Arial" w:hAnsi="Arial"/>
          <w:sz w:val="20"/>
          <w:szCs w:val="20"/>
          <w:b w:val="1"/>
          <w:bCs w:val="1"/>
          <w:color w:val="auto"/>
        </w:rPr>
      </w:pPr>
      <w:r>
        <w:rPr>
          <w:rFonts w:ascii="Arial" w:cs="Arial" w:eastAsia="Arial" w:hAnsi="Arial"/>
          <w:sz w:val="20"/>
          <w:szCs w:val="20"/>
          <w:color w:val="auto"/>
        </w:rPr>
        <w:t>entering into, or reaching an agreement, arrangement or understanding regarding, a support or similar voting or tender agreement (with or without granting a proxy) in connection with a Liquidation Event, Asset Transfer or Acquisition that has been approved by the Board of Directors.</w:t>
      </w:r>
    </w:p>
    <w:p>
      <w:pPr>
        <w:spacing w:after="0" w:line="185" w:lineRule="exact"/>
        <w:rPr>
          <w:rFonts w:ascii="Arial" w:cs="Arial" w:eastAsia="Arial" w:hAnsi="Arial"/>
          <w:sz w:val="20"/>
          <w:szCs w:val="20"/>
          <w:b w:val="1"/>
          <w:bCs w:val="1"/>
          <w:color w:val="auto"/>
        </w:rPr>
      </w:pPr>
    </w:p>
    <w:p>
      <w:pPr>
        <w:ind w:firstLine="1952"/>
        <w:spacing w:after="0" w:line="316" w:lineRule="auto"/>
        <w:tabs>
          <w:tab w:leader="none" w:pos="2492" w:val="left"/>
        </w:tabs>
        <w:numPr>
          <w:ilvl w:val="1"/>
          <w:numId w:val="18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Control</w:t>
      </w:r>
      <w:r>
        <w:rPr>
          <w:rFonts w:ascii="Arial" w:cs="Arial" w:eastAsia="Arial" w:hAnsi="Arial"/>
          <w:sz w:val="18"/>
          <w:szCs w:val="18"/>
          <w:color w:val="auto"/>
        </w:rPr>
        <w:t>” means, with respect to a share of Preferred Stock, Class A Common Stock, or Class B Common Stock, the power (whether exclusive or shared) to vote or direct the voting of such share by proxy, voting agreement or otherwise.</w:t>
      </w:r>
    </w:p>
    <w:p>
      <w:pPr>
        <w:spacing w:after="0" w:line="123" w:lineRule="exact"/>
        <w:rPr>
          <w:rFonts w:ascii="Arial" w:cs="Arial" w:eastAsia="Arial" w:hAnsi="Arial"/>
          <w:sz w:val="18"/>
          <w:szCs w:val="18"/>
          <w:b w:val="1"/>
          <w:bCs w:val="1"/>
          <w:color w:val="auto"/>
        </w:rPr>
      </w:pPr>
    </w:p>
    <w:p>
      <w:pPr>
        <w:ind w:left="1660" w:hanging="356"/>
        <w:spacing w:after="0"/>
        <w:tabs>
          <w:tab w:leader="none" w:pos="1660" w:val="left"/>
        </w:tabs>
        <w:numPr>
          <w:ilvl w:val="0"/>
          <w:numId w:val="185"/>
        </w:numPr>
        <w:rPr>
          <w:rFonts w:ascii="Arial" w:cs="Arial" w:eastAsia="Arial" w:hAnsi="Arial"/>
          <w:sz w:val="20"/>
          <w:szCs w:val="20"/>
          <w:b w:val="1"/>
          <w:bCs w:val="1"/>
          <w:color w:val="auto"/>
        </w:rPr>
      </w:pPr>
      <w:r>
        <w:rPr>
          <w:rFonts w:ascii="Arial" w:cs="Arial" w:eastAsia="Arial" w:hAnsi="Arial"/>
          <w:sz w:val="20"/>
          <w:szCs w:val="20"/>
          <w:b w:val="1"/>
          <w:bCs w:val="1"/>
          <w:color w:val="auto"/>
        </w:rPr>
        <w:t>Rights Relating To Dividends, Subdivisions and Combinations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1952"/>
        <w:spacing w:after="0" w:line="257" w:lineRule="auto"/>
        <w:tabs>
          <w:tab w:leader="none" w:pos="2426" w:val="left"/>
        </w:tabs>
        <w:numPr>
          <w:ilvl w:val="1"/>
          <w:numId w:val="185"/>
        </w:numPr>
        <w:rPr>
          <w:rFonts w:ascii="Arial" w:cs="Arial" w:eastAsia="Arial" w:hAnsi="Arial"/>
          <w:sz w:val="19"/>
          <w:szCs w:val="19"/>
          <w:b w:val="1"/>
          <w:bCs w:val="1"/>
          <w:color w:val="auto"/>
        </w:rPr>
      </w:pPr>
      <w:r>
        <w:rPr>
          <w:rFonts w:ascii="Arial" w:cs="Arial" w:eastAsia="Arial" w:hAnsi="Arial"/>
          <w:sz w:val="19"/>
          <w:szCs w:val="19"/>
          <w:color w:val="auto"/>
        </w:rPr>
        <w:t>Subject to the prior rights of holders of any Preferred Stock at the time outstanding having prior rights as to dividends, the holders of the Class A Common Stock and Class B Common Stock shall be entitled to receive, when, as and if declared by the Board of Directors, out of any assets of the Company legally available therefor, such dividends as may be declared from time to time by the Board of Directors. Except as permitted in Section 2(b), any dividends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254" w:name="page255"/>
    <w:bookmarkEnd w:id="254"/>
    <w:p>
      <w:pPr>
        <w:jc w:val="both"/>
        <w:ind w:firstLine="1952"/>
        <w:spacing w:after="0" w:line="255" w:lineRule="auto"/>
        <w:tabs>
          <w:tab w:leader="none" w:pos="2519" w:val="left"/>
        </w:tabs>
        <w:numPr>
          <w:ilvl w:val="1"/>
          <w:numId w:val="186"/>
        </w:numPr>
        <w:rPr>
          <w:rFonts w:ascii="Arial" w:cs="Arial" w:eastAsia="Arial" w:hAnsi="Arial"/>
          <w:sz w:val="19"/>
          <w:szCs w:val="19"/>
          <w:b w:val="1"/>
          <w:bCs w:val="1"/>
          <w:color w:val="auto"/>
        </w:rPr>
      </w:pPr>
      <w:r>
        <w:rPr>
          <w:rFonts w:ascii="Arial" w:cs="Arial" w:eastAsia="Arial" w:hAnsi="Arial"/>
          <w:sz w:val="19"/>
          <w:szCs w:val="19"/>
          <w:color w:val="auto"/>
        </w:rPr>
        <w:t>The Company shall not declare or pay any dividend or make any distribution to the holders of Class A Common Stock or Class B Common Stock payable in securities of the Company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as applicable, are declared and paid to the holders of Class A Common Stock at the same rate and with the same record date and payment date.</w:t>
      </w:r>
    </w:p>
    <w:p>
      <w:pPr>
        <w:spacing w:after="0" w:line="184" w:lineRule="exact"/>
        <w:rPr>
          <w:rFonts w:ascii="Arial" w:cs="Arial" w:eastAsia="Arial" w:hAnsi="Arial"/>
          <w:sz w:val="19"/>
          <w:szCs w:val="19"/>
          <w:b w:val="1"/>
          <w:bCs w:val="1"/>
          <w:color w:val="auto"/>
        </w:rPr>
      </w:pPr>
    </w:p>
    <w:p>
      <w:pPr>
        <w:jc w:val="both"/>
        <w:ind w:firstLine="1952"/>
        <w:spacing w:after="0" w:line="250" w:lineRule="auto"/>
        <w:tabs>
          <w:tab w:leader="none" w:pos="2375" w:val="left"/>
        </w:tabs>
        <w:numPr>
          <w:ilvl w:val="1"/>
          <w:numId w:val="186"/>
        </w:numPr>
        <w:rPr>
          <w:rFonts w:ascii="Arial" w:cs="Arial" w:eastAsia="Arial" w:hAnsi="Arial"/>
          <w:sz w:val="20"/>
          <w:szCs w:val="20"/>
          <w:b w:val="1"/>
          <w:bCs w:val="1"/>
          <w:color w:val="auto"/>
        </w:rPr>
      </w:pPr>
      <w:r>
        <w:rPr>
          <w:rFonts w:ascii="Arial" w:cs="Arial" w:eastAsia="Arial" w:hAnsi="Arial"/>
          <w:sz w:val="20"/>
          <w:szCs w:val="20"/>
          <w:color w:val="auto"/>
        </w:rPr>
        <w:t>If the Company in any manner subdivides or combines (including by reclassification) the outstanding shares of Class A Common Stock or Class B Common Stock, then the outstanding shares of all Common Stock will be subdivided or combined in the same proportion and manner.</w:t>
      </w:r>
    </w:p>
    <w:p>
      <w:pPr>
        <w:spacing w:after="0" w:line="179" w:lineRule="exact"/>
        <w:rPr>
          <w:rFonts w:ascii="Arial" w:cs="Arial" w:eastAsia="Arial" w:hAnsi="Arial"/>
          <w:sz w:val="20"/>
          <w:szCs w:val="20"/>
          <w:b w:val="1"/>
          <w:bCs w:val="1"/>
          <w:color w:val="auto"/>
        </w:rPr>
      </w:pPr>
    </w:p>
    <w:p>
      <w:pPr>
        <w:jc w:val="both"/>
        <w:ind w:firstLine="1304"/>
        <w:spacing w:after="0" w:line="256" w:lineRule="auto"/>
        <w:tabs>
          <w:tab w:leader="none" w:pos="1664" w:val="left"/>
        </w:tabs>
        <w:numPr>
          <w:ilvl w:val="0"/>
          <w:numId w:val="187"/>
        </w:numPr>
        <w:rPr>
          <w:rFonts w:ascii="Arial" w:cs="Arial" w:eastAsia="Arial" w:hAnsi="Arial"/>
          <w:sz w:val="19"/>
          <w:szCs w:val="19"/>
          <w:b w:val="1"/>
          <w:bCs w:val="1"/>
          <w:color w:val="auto"/>
        </w:rPr>
      </w:pPr>
      <w:r>
        <w:rPr>
          <w:rFonts w:ascii="Arial" w:cs="Arial" w:eastAsia="Arial" w:hAnsi="Arial"/>
          <w:sz w:val="19"/>
          <w:szCs w:val="19"/>
          <w:b w:val="1"/>
          <w:bCs w:val="1"/>
          <w:color w:val="auto"/>
        </w:rPr>
        <w:t>Liquidation Rights</w:t>
      </w:r>
      <w:r>
        <w:rPr>
          <w:rFonts w:ascii="Arial" w:cs="Arial" w:eastAsia="Arial" w:hAnsi="Arial"/>
          <w:sz w:val="19"/>
          <w:szCs w:val="19"/>
          <w:color w:val="auto"/>
        </w:rPr>
        <w:t>. In the event of a Liquidation Event, upon the completion of the distributions required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any Preferred Stock that may then be outstanding, the remaining assets of the Company legally available for distribution to stockholders, or consideration payable to the stockholders of the Company, in the case of an Acquisition constituting a Liquidation Event, shall be distributed on an equal priority, pro rata basis to the holders of Class A Common Stock and Class B Common Stock (and the holders of any Preferred Stock that may then be outstanding, to the extent required by the Certificate of Incorporation or any certificate of designation filed with respect to any series of Preferred Stock), unless different treatment of the shares of each such class is approved by the affirmative vote of the holders of a majority of the outstanding shares of Class A Common Stock and a majority of the outstanding shares of Class B Common Stock, each voting separately as a class; </w:t>
      </w:r>
      <w:r>
        <w:rPr>
          <w:rFonts w:ascii="Arial" w:cs="Arial" w:eastAsia="Arial" w:hAnsi="Arial"/>
          <w:sz w:val="19"/>
          <w:szCs w:val="19"/>
          <w:i w:val="1"/>
          <w:iCs w:val="1"/>
          <w:color w:val="auto"/>
        </w:rPr>
        <w:t>provided, however</w:t>
      </w:r>
      <w:r>
        <w:rPr>
          <w:rFonts w:ascii="Arial" w:cs="Arial" w:eastAsia="Arial" w:hAnsi="Arial"/>
          <w:sz w:val="19"/>
          <w:szCs w:val="19"/>
          <w:color w:val="auto"/>
        </w:rPr>
        <w:t>, for the avoidance of doubt, compensation pursuant to any employment, consulting, severance or other compensatory arrangement to be paid to or received by a person who is also a holder of Class A Common Stock or Class B Common Stock does not constitute consideration or a “distribution to stockholders” in respect of the Class A Common Stock or Class B Common Stock.</w:t>
      </w:r>
    </w:p>
    <w:p>
      <w:pPr>
        <w:spacing w:after="0" w:line="176" w:lineRule="exact"/>
        <w:rPr>
          <w:rFonts w:ascii="Arial" w:cs="Arial" w:eastAsia="Arial" w:hAnsi="Arial"/>
          <w:sz w:val="19"/>
          <w:szCs w:val="19"/>
          <w:b w:val="1"/>
          <w:bCs w:val="1"/>
          <w:color w:val="auto"/>
        </w:rPr>
      </w:pPr>
    </w:p>
    <w:p>
      <w:pPr>
        <w:ind w:left="1640" w:hanging="336"/>
        <w:spacing w:after="0"/>
        <w:tabs>
          <w:tab w:leader="none" w:pos="1640" w:val="left"/>
        </w:tabs>
        <w:numPr>
          <w:ilvl w:val="0"/>
          <w:numId w:val="187"/>
        </w:numPr>
        <w:rPr>
          <w:rFonts w:ascii="Arial" w:cs="Arial" w:eastAsia="Arial" w:hAnsi="Arial"/>
          <w:sz w:val="20"/>
          <w:szCs w:val="20"/>
          <w:b w:val="1"/>
          <w:bCs w:val="1"/>
          <w:color w:val="auto"/>
        </w:rPr>
      </w:pPr>
      <w:r>
        <w:rPr>
          <w:rFonts w:ascii="Arial" w:cs="Arial" w:eastAsia="Arial" w:hAnsi="Arial"/>
          <w:sz w:val="20"/>
          <w:szCs w:val="20"/>
          <w:b w:val="1"/>
          <w:bCs w:val="1"/>
          <w:color w:val="auto"/>
        </w:rPr>
        <w:t>Voting Rights</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ind w:left="2440" w:hanging="488"/>
        <w:spacing w:after="0"/>
        <w:tabs>
          <w:tab w:leader="none" w:pos="2440" w:val="left"/>
        </w:tabs>
        <w:numPr>
          <w:ilvl w:val="1"/>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Class A Common Stock</w:t>
      </w:r>
      <w:r>
        <w:rPr>
          <w:rFonts w:ascii="Arial" w:cs="Arial" w:eastAsia="Arial" w:hAnsi="Arial"/>
          <w:sz w:val="18"/>
          <w:szCs w:val="18"/>
          <w:color w:val="auto"/>
        </w:rPr>
        <w:t>. Each holder of shares of Class A Common Stock shall be entitled to one vote for</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each share thereof held.</w:t>
      </w:r>
    </w:p>
    <w:p>
      <w:pPr>
        <w:spacing w:after="0" w:line="193" w:lineRule="exact"/>
        <w:rPr>
          <w:rFonts w:ascii="Arial" w:cs="Arial" w:eastAsia="Arial" w:hAnsi="Arial"/>
          <w:sz w:val="18"/>
          <w:szCs w:val="18"/>
          <w:b w:val="1"/>
          <w:bCs w:val="1"/>
          <w:color w:val="auto"/>
        </w:rPr>
      </w:pPr>
    </w:p>
    <w:p>
      <w:pPr>
        <w:ind w:left="2440" w:hanging="488"/>
        <w:spacing w:after="0"/>
        <w:tabs>
          <w:tab w:leader="none" w:pos="2440" w:val="left"/>
        </w:tabs>
        <w:numPr>
          <w:ilvl w:val="1"/>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Class B Common Stock</w:t>
      </w:r>
      <w:r>
        <w:rPr>
          <w:rFonts w:ascii="Arial" w:cs="Arial" w:eastAsia="Arial" w:hAnsi="Arial"/>
          <w:sz w:val="18"/>
          <w:szCs w:val="18"/>
          <w:color w:val="auto"/>
        </w:rPr>
        <w:t>. Each holder of shares of Class B Common Stock shall be entitled to ten votes for</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each share thereof held.</w:t>
      </w:r>
    </w:p>
    <w:p>
      <w:pPr>
        <w:spacing w:after="0" w:line="193" w:lineRule="exact"/>
        <w:rPr>
          <w:rFonts w:ascii="Arial" w:cs="Arial" w:eastAsia="Arial" w:hAnsi="Arial"/>
          <w:sz w:val="18"/>
          <w:szCs w:val="18"/>
          <w:b w:val="1"/>
          <w:bCs w:val="1"/>
          <w:color w:val="auto"/>
        </w:rPr>
      </w:pPr>
    </w:p>
    <w:p>
      <w:pPr>
        <w:jc w:val="both"/>
        <w:ind w:firstLine="1952"/>
        <w:spacing w:after="0" w:line="294" w:lineRule="auto"/>
        <w:tabs>
          <w:tab w:leader="none" w:pos="2401" w:val="left"/>
        </w:tabs>
        <w:numPr>
          <w:ilvl w:val="1"/>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Voting Generally</w:t>
      </w:r>
      <w:r>
        <w:rPr>
          <w:rFonts w:ascii="Arial" w:cs="Arial" w:eastAsia="Arial" w:hAnsi="Arial"/>
          <w:sz w:val="18"/>
          <w:szCs w:val="18"/>
          <w:color w:val="auto"/>
        </w:rPr>
        <w:t>. Except as required by law or as otherwise set forth herein, the holders of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and Class B Common Stock shall vote together and not as separate series or classes. Except as otherwise required by applicable law, holders of Class A Common Stock and Class B Common Stock, as such, shall not be entitled to vote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9" w:right="339" w:bottom="1440" w:gutter="0" w:footer="0" w:header="0"/>
        </w:sectPr>
      </w:pPr>
    </w:p>
    <w:bookmarkStart w:id="255" w:name="page256"/>
    <w:bookmarkEnd w:id="255"/>
    <w:p>
      <w:pPr>
        <w:jc w:val="both"/>
        <w:spacing w:after="0" w:line="291" w:lineRule="auto"/>
        <w:rPr>
          <w:sz w:val="20"/>
          <w:szCs w:val="20"/>
          <w:color w:val="auto"/>
        </w:rPr>
      </w:pPr>
      <w:r>
        <w:rPr>
          <w:rFonts w:ascii="Arial" w:cs="Arial" w:eastAsia="Arial" w:hAnsi="Arial"/>
          <w:sz w:val="18"/>
          <w:szCs w:val="18"/>
          <w:color w:val="auto"/>
        </w:rPr>
        <w:t>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w:t>
      </w:r>
      <w:r>
        <w:rPr>
          <w:rFonts w:ascii="Arial" w:cs="Arial" w:eastAsia="Arial" w:hAnsi="Arial"/>
          <w:sz w:val="13"/>
          <w:szCs w:val="13"/>
          <w:color w:val="auto"/>
        </w:rPr>
        <w:t>,</w:t>
      </w:r>
      <w:r>
        <w:rPr>
          <w:rFonts w:ascii="Arial" w:cs="Arial" w:eastAsia="Arial" w:hAnsi="Arial"/>
          <w:sz w:val="18"/>
          <w:szCs w:val="18"/>
          <w:color w:val="auto"/>
        </w:rPr>
        <w:t xml:space="preserve"> any certificate of designation filed with respect to any series of Preferred Stock or applicable law.</w:t>
      </w:r>
    </w:p>
    <w:p>
      <w:pPr>
        <w:spacing w:after="0" w:line="146" w:lineRule="exact"/>
        <w:rPr>
          <w:sz w:val="20"/>
          <w:szCs w:val="20"/>
          <w:color w:val="auto"/>
        </w:rPr>
      </w:pPr>
    </w:p>
    <w:p>
      <w:pPr>
        <w:jc w:val="both"/>
        <w:ind w:firstLine="1952"/>
        <w:spacing w:after="0" w:line="260" w:lineRule="auto"/>
        <w:tabs>
          <w:tab w:leader="none" w:pos="2532" w:val="left"/>
        </w:tabs>
        <w:numPr>
          <w:ilvl w:val="1"/>
          <w:numId w:val="18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Separate Class B Common Stock Vote. </w:t>
      </w:r>
      <w:r>
        <w:rPr>
          <w:rFonts w:ascii="Arial" w:cs="Arial" w:eastAsia="Arial" w:hAnsi="Arial"/>
          <w:sz w:val="19"/>
          <w:szCs w:val="19"/>
          <w:color w:val="auto"/>
        </w:rPr>
        <w:t>At any time when any shares of Class B Common Stock are</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the Company shall not, either directly or indirectly by amendment, merger, consolidation, recapitalization, reclassification, or otherwise, do any of the following without (in addition to any other vote required by law or the Certificate of Incorporation) the written consent or affirmative vote of the holders of a majority of the then outstanding shares of Class B Common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178" w:lineRule="exact"/>
        <w:rPr>
          <w:rFonts w:ascii="Arial" w:cs="Arial" w:eastAsia="Arial" w:hAnsi="Arial"/>
          <w:sz w:val="19"/>
          <w:szCs w:val="19"/>
          <w:b w:val="1"/>
          <w:bCs w:val="1"/>
          <w:color w:val="auto"/>
        </w:rPr>
      </w:pPr>
    </w:p>
    <w:p>
      <w:pPr>
        <w:ind w:firstLine="2600"/>
        <w:spacing w:after="0" w:line="260" w:lineRule="auto"/>
        <w:tabs>
          <w:tab w:leader="none" w:pos="2990" w:val="left"/>
        </w:tabs>
        <w:numPr>
          <w:ilvl w:val="2"/>
          <w:numId w:val="188"/>
        </w:numPr>
        <w:rPr>
          <w:rFonts w:ascii="Arial" w:cs="Arial" w:eastAsia="Arial" w:hAnsi="Arial"/>
          <w:sz w:val="20"/>
          <w:szCs w:val="20"/>
          <w:b w:val="1"/>
          <w:bCs w:val="1"/>
          <w:color w:val="auto"/>
        </w:rPr>
      </w:pPr>
      <w:r>
        <w:rPr>
          <w:rFonts w:ascii="Arial" w:cs="Arial" w:eastAsia="Arial" w:hAnsi="Arial"/>
          <w:sz w:val="20"/>
          <w:szCs w:val="20"/>
          <w:color w:val="auto"/>
        </w:rPr>
        <w:t>amend, alter or repeal any provision of the Certificate of Incorporation or Bylaws of the Corporation in a manner that adversely affects the powers, preferences or rights of the Class B Common Stock; or</w:t>
      </w:r>
    </w:p>
    <w:p>
      <w:pPr>
        <w:spacing w:after="0" w:line="176" w:lineRule="exact"/>
        <w:rPr>
          <w:rFonts w:ascii="Arial" w:cs="Arial" w:eastAsia="Arial" w:hAnsi="Arial"/>
          <w:sz w:val="20"/>
          <w:szCs w:val="20"/>
          <w:b w:val="1"/>
          <w:bCs w:val="1"/>
          <w:color w:val="auto"/>
        </w:rPr>
      </w:pPr>
    </w:p>
    <w:p>
      <w:pPr>
        <w:jc w:val="both"/>
        <w:ind w:firstLine="2600"/>
        <w:spacing w:after="0" w:line="250" w:lineRule="auto"/>
        <w:tabs>
          <w:tab w:leader="none" w:pos="3072" w:val="left"/>
        </w:tabs>
        <w:numPr>
          <w:ilvl w:val="2"/>
          <w:numId w:val="188"/>
        </w:numPr>
        <w:rPr>
          <w:rFonts w:ascii="Arial" w:cs="Arial" w:eastAsia="Arial" w:hAnsi="Arial"/>
          <w:sz w:val="20"/>
          <w:szCs w:val="20"/>
          <w:b w:val="1"/>
          <w:bCs w:val="1"/>
          <w:color w:val="auto"/>
        </w:rPr>
      </w:pPr>
      <w:r>
        <w:rPr>
          <w:rFonts w:ascii="Arial" w:cs="Arial" w:eastAsia="Arial" w:hAnsi="Arial"/>
          <w:sz w:val="20"/>
          <w:szCs w:val="20"/>
          <w:color w:val="auto"/>
        </w:rPr>
        <w:t>(A) create, or authorize the creation of, or issue or obligate itself to issue shares of, or reclassify, any capital stock of the Company unless such shares of capital stock are entitled to one vote for each share thereof held, or (B) increase the authorized number of shares of Class B Common Stock.</w:t>
      </w:r>
    </w:p>
    <w:p>
      <w:pPr>
        <w:spacing w:after="0" w:line="179" w:lineRule="exact"/>
        <w:rPr>
          <w:rFonts w:ascii="Arial" w:cs="Arial" w:eastAsia="Arial" w:hAnsi="Arial"/>
          <w:sz w:val="20"/>
          <w:szCs w:val="20"/>
          <w:b w:val="1"/>
          <w:bCs w:val="1"/>
          <w:color w:val="auto"/>
        </w:rPr>
      </w:pPr>
    </w:p>
    <w:p>
      <w:pPr>
        <w:ind w:left="1660" w:hanging="356"/>
        <w:spacing w:after="0"/>
        <w:tabs>
          <w:tab w:leader="none" w:pos="1660" w:val="left"/>
        </w:tabs>
        <w:numPr>
          <w:ilvl w:val="0"/>
          <w:numId w:val="189"/>
        </w:numPr>
        <w:rPr>
          <w:rFonts w:ascii="Arial" w:cs="Arial" w:eastAsia="Arial" w:hAnsi="Arial"/>
          <w:sz w:val="20"/>
          <w:szCs w:val="20"/>
          <w:b w:val="1"/>
          <w:bCs w:val="1"/>
          <w:color w:val="auto"/>
        </w:rPr>
      </w:pPr>
      <w:r>
        <w:rPr>
          <w:rFonts w:ascii="Arial" w:cs="Arial" w:eastAsia="Arial" w:hAnsi="Arial"/>
          <w:sz w:val="20"/>
          <w:szCs w:val="20"/>
          <w:b w:val="1"/>
          <w:bCs w:val="1"/>
          <w:color w:val="auto"/>
        </w:rPr>
        <w:t>Conversion.</w:t>
      </w:r>
    </w:p>
    <w:p>
      <w:pPr>
        <w:spacing w:after="0" w:line="215" w:lineRule="exact"/>
        <w:rPr>
          <w:rFonts w:ascii="Arial" w:cs="Arial" w:eastAsia="Arial" w:hAnsi="Arial"/>
          <w:sz w:val="20"/>
          <w:szCs w:val="20"/>
          <w:b w:val="1"/>
          <w:bCs w:val="1"/>
          <w:color w:val="auto"/>
        </w:rPr>
      </w:pPr>
    </w:p>
    <w:p>
      <w:pPr>
        <w:jc w:val="both"/>
        <w:ind w:firstLine="1952"/>
        <w:spacing w:after="0" w:line="253" w:lineRule="auto"/>
        <w:tabs>
          <w:tab w:leader="none" w:pos="2418" w:val="left"/>
        </w:tabs>
        <w:numPr>
          <w:ilvl w:val="1"/>
          <w:numId w:val="1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Optional Conversion. </w:t>
      </w:r>
      <w:r>
        <w:rPr>
          <w:rFonts w:ascii="Arial" w:cs="Arial" w:eastAsia="Arial" w:hAnsi="Arial"/>
          <w:sz w:val="20"/>
          <w:szCs w:val="20"/>
          <w:color w:val="auto"/>
        </w:rPr>
        <w:t>Each share of Class B Common Stock shall be convertible into one (1) fully paid and</w:t>
      </w:r>
      <w:r>
        <w:rPr>
          <w:rFonts w:ascii="Arial" w:cs="Arial" w:eastAsia="Arial" w:hAnsi="Arial"/>
          <w:sz w:val="20"/>
          <w:szCs w:val="20"/>
          <w:b w:val="1"/>
          <w:bCs w:val="1"/>
          <w:color w:val="auto"/>
        </w:rPr>
        <w:t xml:space="preserve"> </w:t>
      </w:r>
      <w:r>
        <w:rPr>
          <w:rFonts w:ascii="Arial" w:cs="Arial" w:eastAsia="Arial" w:hAnsi="Arial"/>
          <w:sz w:val="20"/>
          <w:szCs w:val="20"/>
          <w:color w:val="auto"/>
        </w:rPr>
        <w:t>nonassessable share of Class A Common Stock at the option of the holder thereof at any time upon written notice to the Company or the transfer agent of the Company.</w:t>
      </w:r>
    </w:p>
    <w:p>
      <w:pPr>
        <w:spacing w:after="0" w:line="177" w:lineRule="exact"/>
        <w:rPr>
          <w:rFonts w:ascii="Arial" w:cs="Arial" w:eastAsia="Arial" w:hAnsi="Arial"/>
          <w:sz w:val="20"/>
          <w:szCs w:val="20"/>
          <w:b w:val="1"/>
          <w:bCs w:val="1"/>
          <w:color w:val="auto"/>
        </w:rPr>
      </w:pPr>
    </w:p>
    <w:p>
      <w:pPr>
        <w:jc w:val="both"/>
        <w:ind w:firstLine="1952"/>
        <w:spacing w:after="0" w:line="318" w:lineRule="auto"/>
        <w:tabs>
          <w:tab w:leader="none" w:pos="2373" w:val="left"/>
        </w:tabs>
        <w:numPr>
          <w:ilvl w:val="1"/>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Automatic Conversion upon Transfer. </w:t>
      </w:r>
      <w:r>
        <w:rPr>
          <w:rFonts w:ascii="Arial" w:cs="Arial" w:eastAsia="Arial" w:hAnsi="Arial"/>
          <w:sz w:val="16"/>
          <w:szCs w:val="16"/>
          <w:color w:val="auto"/>
        </w:rPr>
        <w:t>Each share of Class B Common Stock shall automatically, without any</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action, convert into one (1) fully paid and nonassessable share of Class A Common Stock upon the Transfer of such share; provided, however, that a Transfer of Class B Common Stock by a Class B Stockholder or such Class B Stockholder’s Permitted Entities to another Class B Stockholder or such Class B Stockholder’s Permitted Entities shall not trigger such automatic conversion; provided further, however, that a Transfer by a Class B Stockholder to any of the following Permitted Entities, and from any of the following Permitted Entities back to such Class B Stockholder and/or any other Permitted Entity by or for such Class B Stockholder, shall not trigger such automatic conversion:</w:t>
      </w:r>
    </w:p>
    <w:p>
      <w:pPr>
        <w:spacing w:after="0" w:line="136" w:lineRule="exact"/>
        <w:rPr>
          <w:rFonts w:ascii="Arial" w:cs="Arial" w:eastAsia="Arial" w:hAnsi="Arial"/>
          <w:sz w:val="16"/>
          <w:szCs w:val="16"/>
          <w:b w:val="1"/>
          <w:bCs w:val="1"/>
          <w:color w:val="auto"/>
        </w:rPr>
      </w:pPr>
    </w:p>
    <w:p>
      <w:pPr>
        <w:jc w:val="both"/>
        <w:ind w:firstLine="2600"/>
        <w:spacing w:after="0" w:line="244" w:lineRule="auto"/>
        <w:tabs>
          <w:tab w:leader="none" w:pos="2990" w:val="left"/>
        </w:tabs>
        <w:numPr>
          <w:ilvl w:val="2"/>
          <w:numId w:val="189"/>
        </w:numPr>
        <w:rPr>
          <w:rFonts w:ascii="Arial" w:cs="Arial" w:eastAsia="Arial" w:hAnsi="Arial"/>
          <w:sz w:val="20"/>
          <w:szCs w:val="20"/>
          <w:b w:val="1"/>
          <w:bCs w:val="1"/>
          <w:color w:val="auto"/>
        </w:rPr>
      </w:pPr>
      <w:r>
        <w:rPr>
          <w:rFonts w:ascii="Arial" w:cs="Arial" w:eastAsia="Arial" w:hAnsi="Arial"/>
          <w:sz w:val="20"/>
          <w:szCs w:val="20"/>
          <w:color w:val="auto"/>
        </w:rPr>
        <w:t>a trust for the benefit of such Class B Stockholder and for the benefit of no other person, provided such Transfer does not involve any payment of cash, securities, property or other consideration (other than an interest in such trust) to the Class B Stockholder and, provided, further, that in the event such Class B Stockholder is no longer the exclusive beneficiary of such trust, each share of Class B Common Stock then held by such trust shall automatically convert into one (1) fully paid and nonassessable share of Class A Common Stock;</w:t>
      </w:r>
    </w:p>
    <w:p>
      <w:pPr>
        <w:spacing w:after="0" w:line="194" w:lineRule="exact"/>
        <w:rPr>
          <w:rFonts w:ascii="Arial" w:cs="Arial" w:eastAsia="Arial" w:hAnsi="Arial"/>
          <w:sz w:val="20"/>
          <w:szCs w:val="20"/>
          <w:b w:val="1"/>
          <w:bCs w:val="1"/>
          <w:color w:val="auto"/>
        </w:rPr>
      </w:pPr>
    </w:p>
    <w:p>
      <w:pPr>
        <w:jc w:val="both"/>
        <w:ind w:firstLine="2600"/>
        <w:spacing w:after="0" w:line="250" w:lineRule="auto"/>
        <w:tabs>
          <w:tab w:leader="none" w:pos="3031" w:val="left"/>
        </w:tabs>
        <w:numPr>
          <w:ilvl w:val="2"/>
          <w:numId w:val="189"/>
        </w:numPr>
        <w:rPr>
          <w:rFonts w:ascii="Arial" w:cs="Arial" w:eastAsia="Arial" w:hAnsi="Arial"/>
          <w:sz w:val="20"/>
          <w:szCs w:val="20"/>
          <w:b w:val="1"/>
          <w:bCs w:val="1"/>
          <w:color w:val="auto"/>
        </w:rPr>
      </w:pPr>
      <w:r>
        <w:rPr>
          <w:rFonts w:ascii="Arial" w:cs="Arial" w:eastAsia="Arial" w:hAnsi="Arial"/>
          <w:sz w:val="20"/>
          <w:szCs w:val="20"/>
          <w:color w:val="auto"/>
        </w:rPr>
        <w:t>a trust for the benefit of persons other than the Class B Stockholder so long as the Class B Stockholder has sole dispositive power and exclusive Voting Control with respect to the shares of Class B Common Stock held by such trust, provided such Transfer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9" w:right="339" w:bottom="1440" w:gutter="0" w:footer="0" w:header="0"/>
        </w:sectPr>
      </w:pPr>
    </w:p>
    <w:bookmarkStart w:id="256" w:name="page257"/>
    <w:bookmarkEnd w:id="256"/>
    <w:p>
      <w:pPr>
        <w:jc w:val="both"/>
        <w:spacing w:after="0" w:line="263" w:lineRule="auto"/>
        <w:rPr>
          <w:sz w:val="20"/>
          <w:szCs w:val="20"/>
          <w:color w:val="auto"/>
        </w:rPr>
      </w:pPr>
      <w:r>
        <w:rPr>
          <w:rFonts w:ascii="Arial" w:cs="Arial" w:eastAsia="Arial" w:hAnsi="Arial"/>
          <w:sz w:val="19"/>
          <w:szCs w:val="19"/>
          <w:color w:val="auto"/>
        </w:rPr>
        <w:t>involve any payment of cash, securities, property or other consideration (other than an interest in such trust) to the Class B Stockholder, and, provided, further, that in the event the Class B Stockholder no longer has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spacing w:after="0" w:line="176" w:lineRule="exact"/>
        <w:rPr>
          <w:sz w:val="20"/>
          <w:szCs w:val="20"/>
          <w:color w:val="auto"/>
        </w:rPr>
      </w:pPr>
    </w:p>
    <w:p>
      <w:pPr>
        <w:jc w:val="both"/>
        <w:ind w:firstLine="2600"/>
        <w:spacing w:after="0" w:line="303" w:lineRule="auto"/>
        <w:tabs>
          <w:tab w:leader="none" w:pos="3086" w:val="left"/>
        </w:tabs>
        <w:numPr>
          <w:ilvl w:val="1"/>
          <w:numId w:val="190"/>
        </w:numPr>
        <w:rPr>
          <w:rFonts w:ascii="Arial" w:cs="Arial" w:eastAsia="Arial" w:hAnsi="Arial"/>
          <w:sz w:val="16"/>
          <w:szCs w:val="16"/>
          <w:b w:val="1"/>
          <w:bCs w:val="1"/>
          <w:color w:val="auto"/>
        </w:rPr>
      </w:pPr>
      <w:r>
        <w:rPr>
          <w:rFonts w:ascii="Arial" w:cs="Arial" w:eastAsia="Arial" w:hAnsi="Arial"/>
          <w:sz w:val="16"/>
          <w:szCs w:val="16"/>
          <w:color w:val="auto"/>
        </w:rPr>
        <w:t>a trust under the terms of which such Class B Stockholder has retained a “qualified interest” within the meaning of §2702(b)(1) of the Internal Revenue Code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and/or a reversionary interest so long as the Class B Stockholder has sole dispositive power and exclusive Voting Control with respect to the shares of Class B Common Stock held by such trust; provided, however, that in the event the Class B Stockholder no longer has sole dispositive power and exclusive Voting Control with respect to the shares of Class B Common Stock held by such trust, each share of Class B Common Stock then held by such trust shall automatically convert into one</w:t>
      </w:r>
    </w:p>
    <w:p>
      <w:pPr>
        <w:spacing w:after="0" w:line="2" w:lineRule="exact"/>
        <w:rPr>
          <w:rFonts w:ascii="Arial" w:cs="Arial" w:eastAsia="Arial" w:hAnsi="Arial"/>
          <w:sz w:val="16"/>
          <w:szCs w:val="16"/>
          <w:b w:val="1"/>
          <w:bCs w:val="1"/>
          <w:color w:val="auto"/>
        </w:rPr>
      </w:pPr>
    </w:p>
    <w:p>
      <w:pPr>
        <w:ind w:left="280" w:hanging="272"/>
        <w:spacing w:after="0"/>
        <w:tabs>
          <w:tab w:leader="none" w:pos="28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fully paid and nonassessable share of Class A Common Stock;</w:t>
      </w:r>
    </w:p>
    <w:p>
      <w:pPr>
        <w:spacing w:after="0" w:line="199" w:lineRule="exact"/>
        <w:rPr>
          <w:rFonts w:ascii="Arial" w:cs="Arial" w:eastAsia="Arial" w:hAnsi="Arial"/>
          <w:sz w:val="20"/>
          <w:szCs w:val="20"/>
          <w:color w:val="auto"/>
        </w:rPr>
      </w:pPr>
    </w:p>
    <w:p>
      <w:pPr>
        <w:jc w:val="both"/>
        <w:ind w:firstLine="2600"/>
        <w:spacing w:after="0" w:line="257" w:lineRule="auto"/>
        <w:tabs>
          <w:tab w:leader="none" w:pos="3183" w:val="left"/>
        </w:tabs>
        <w:numPr>
          <w:ilvl w:val="1"/>
          <w:numId w:val="191"/>
        </w:numPr>
        <w:rPr>
          <w:rFonts w:ascii="Arial" w:cs="Arial" w:eastAsia="Arial" w:hAnsi="Arial"/>
          <w:sz w:val="19"/>
          <w:szCs w:val="19"/>
          <w:b w:val="1"/>
          <w:bCs w:val="1"/>
          <w:color w:val="auto"/>
        </w:rPr>
      </w:pPr>
      <w:r>
        <w:rPr>
          <w:rFonts w:ascii="Arial" w:cs="Arial" w:eastAsia="Arial" w:hAnsi="Arial"/>
          <w:sz w:val="19"/>
          <w:szCs w:val="19"/>
          <w:color w:val="auto"/>
        </w:rPr>
        <w:t>an Individual Retirement Account, as defined in Section 408(a) of the Code, or a pension, profit sharing, stock bonus or other type of plan or trust of which such Class B Stockholder is a participant or beneficiary and which satisfies the requirements for qualification under Section 401 of the Code; provided that in each case such Class B Stockholder has sole dispositive power and exclusive Voting Control with respect to the shares of Class B Common Stock held in such account, plan or trust, and provided, further, that in the event the Class B Stockholder no longer has sole dispositive power and exclusive Voting Control with respect to the shares of Class B Common Stock held by such account, plan or trust, each share of Class B Common Stock then held by such trust shall automatically convert into one (1) fully paid and nonassessable share of Class A Common Stock;</w:t>
      </w:r>
    </w:p>
    <w:p>
      <w:pPr>
        <w:spacing w:after="0" w:line="184" w:lineRule="exact"/>
        <w:rPr>
          <w:rFonts w:ascii="Arial" w:cs="Arial" w:eastAsia="Arial" w:hAnsi="Arial"/>
          <w:sz w:val="19"/>
          <w:szCs w:val="19"/>
          <w:b w:val="1"/>
          <w:bCs w:val="1"/>
          <w:color w:val="auto"/>
        </w:rPr>
      </w:pPr>
    </w:p>
    <w:p>
      <w:pPr>
        <w:jc w:val="both"/>
        <w:ind w:firstLine="2600"/>
        <w:spacing w:after="0" w:line="257" w:lineRule="auto"/>
        <w:tabs>
          <w:tab w:leader="none" w:pos="3047" w:val="left"/>
        </w:tabs>
        <w:numPr>
          <w:ilvl w:val="1"/>
          <w:numId w:val="191"/>
        </w:numPr>
        <w:rPr>
          <w:rFonts w:ascii="Arial" w:cs="Arial" w:eastAsia="Arial" w:hAnsi="Arial"/>
          <w:sz w:val="19"/>
          <w:szCs w:val="19"/>
          <w:b w:val="1"/>
          <w:bCs w:val="1"/>
          <w:color w:val="auto"/>
        </w:rPr>
      </w:pPr>
      <w:r>
        <w:rPr>
          <w:rFonts w:ascii="Arial" w:cs="Arial" w:eastAsia="Arial" w:hAnsi="Arial"/>
          <w:sz w:val="19"/>
          <w:szCs w:val="19"/>
          <w:color w:val="auto"/>
        </w:rPr>
        <w:t>a corporation in which such Class B Stockholder directly, or indirectly through one or more Permitted Entities, owns shares with sufficient Voting Control in the corporation, or otherwise has legally enforceable rights, such that the Class B Stockholder retains sole dispositive power and exclusive Voting Control with respect to the shares of Class B Common Stock held by such corporation; provided that in the event the Class B Stockholder no longer owns sufficient shares or has sufficient legally enforceable rights to enable the Class B Stockholder to retain sole dispositive power and exclusive Voting Control with respect to the shares of Class B Common Stock held by such corporation, each share of Class B Common Stock then held by such corporation shall automatically convert into one (1) fully paid and nonassessable share of Class A Common Stock;</w:t>
      </w:r>
    </w:p>
    <w:p>
      <w:pPr>
        <w:spacing w:after="0" w:line="184" w:lineRule="exact"/>
        <w:rPr>
          <w:rFonts w:ascii="Arial" w:cs="Arial" w:eastAsia="Arial" w:hAnsi="Arial"/>
          <w:sz w:val="19"/>
          <w:szCs w:val="19"/>
          <w:b w:val="1"/>
          <w:bCs w:val="1"/>
          <w:color w:val="auto"/>
        </w:rPr>
      </w:pPr>
    </w:p>
    <w:p>
      <w:pPr>
        <w:jc w:val="both"/>
        <w:ind w:firstLine="2600"/>
        <w:spacing w:after="0" w:line="274" w:lineRule="auto"/>
        <w:tabs>
          <w:tab w:leader="none" w:pos="3089" w:val="left"/>
        </w:tabs>
        <w:numPr>
          <w:ilvl w:val="1"/>
          <w:numId w:val="191"/>
        </w:numPr>
        <w:rPr>
          <w:rFonts w:ascii="Arial" w:cs="Arial" w:eastAsia="Arial" w:hAnsi="Arial"/>
          <w:sz w:val="18"/>
          <w:szCs w:val="18"/>
          <w:b w:val="1"/>
          <w:bCs w:val="1"/>
          <w:color w:val="auto"/>
        </w:rPr>
      </w:pPr>
      <w:r>
        <w:rPr>
          <w:rFonts w:ascii="Arial" w:cs="Arial" w:eastAsia="Arial" w:hAnsi="Arial"/>
          <w:sz w:val="18"/>
          <w:szCs w:val="18"/>
          <w:color w:val="auto"/>
        </w:rPr>
        <w:t>a partnership in which such Class B Stockholder directly, or indirectly through one or more Permitted Entities, owns partnership interests with sufficient Voting Control in the partnership, or otherwise has legally enforceable rights, such that the Class B Stockholder retains sole dispositive power and exclusive Voting Control with respect to the shares of Class B Common Stock or held by such partnership; provided that in the event the Class B Stockholder no longer owns sufficient partnership interests or has sufficient legally enforceable rights to enable the Class B Stockholder to retain sole dispositive power and exclusive Voting Control with respect to the shares of Class B Common Stock held by such partnership, each share of Class B Common Stock then held by such partnership shall automatically convert into one (1) fully paid and nonassessable share of Class A Common Stock;</w:t>
      </w:r>
    </w:p>
    <w:p>
      <w:pPr>
        <w:spacing w:after="0" w:line="168" w:lineRule="exact"/>
        <w:rPr>
          <w:rFonts w:ascii="Arial" w:cs="Arial" w:eastAsia="Arial" w:hAnsi="Arial"/>
          <w:sz w:val="18"/>
          <w:szCs w:val="18"/>
          <w:b w:val="1"/>
          <w:bCs w:val="1"/>
          <w:color w:val="auto"/>
        </w:rPr>
      </w:pPr>
    </w:p>
    <w:p>
      <w:pPr>
        <w:jc w:val="both"/>
        <w:ind w:firstLine="2600"/>
        <w:spacing w:after="0" w:line="250" w:lineRule="auto"/>
        <w:tabs>
          <w:tab w:leader="none" w:pos="3171" w:val="left"/>
        </w:tabs>
        <w:numPr>
          <w:ilvl w:val="1"/>
          <w:numId w:val="191"/>
        </w:numPr>
        <w:rPr>
          <w:rFonts w:ascii="Arial" w:cs="Arial" w:eastAsia="Arial" w:hAnsi="Arial"/>
          <w:sz w:val="20"/>
          <w:szCs w:val="20"/>
          <w:b w:val="1"/>
          <w:bCs w:val="1"/>
          <w:color w:val="auto"/>
        </w:rPr>
      </w:pPr>
      <w:r>
        <w:rPr>
          <w:rFonts w:ascii="Arial" w:cs="Arial" w:eastAsia="Arial" w:hAnsi="Arial"/>
          <w:sz w:val="20"/>
          <w:szCs w:val="20"/>
          <w:color w:val="auto"/>
        </w:rPr>
        <w:t>a limited liability company in which such Class B Stockholder directly, or indirectly through one or more Permitted Entities, owns membership interests with sufficient Voting Control in the limited liability company, or otherwise has legally enforceable rights, such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9" w:right="339" w:bottom="1440" w:gutter="0" w:footer="0" w:header="0"/>
        </w:sectPr>
      </w:pPr>
    </w:p>
    <w:bookmarkStart w:id="257" w:name="page258"/>
    <w:bookmarkEnd w:id="257"/>
    <w:p>
      <w:pPr>
        <w:jc w:val="both"/>
        <w:spacing w:after="0" w:line="278" w:lineRule="auto"/>
        <w:rPr>
          <w:sz w:val="20"/>
          <w:szCs w:val="20"/>
          <w:color w:val="auto"/>
        </w:rPr>
      </w:pPr>
      <w:r>
        <w:rPr>
          <w:rFonts w:ascii="Arial" w:cs="Arial" w:eastAsia="Arial" w:hAnsi="Arial"/>
          <w:sz w:val="18"/>
          <w:szCs w:val="18"/>
          <w:color w:val="auto"/>
        </w:rPr>
        <w:t>Class B Stockholder retains sole dispositive power and exclusive Voting Control with respect to the shares of Class B Common Stock held by such limited liability company; provided that in the event the Class B Stockholder no longer owns sufficient membership interests or has sufficient legally enforceable rights to enable the Class B Stockholder to retain sole dispositive power and exclusive Voting Control with respect to the shares of Class B Common Stock held by such limited liability company, each share of Class B Common Stock then held by such limited liability company shall automatically convert into one (1) fully paid and nonassessable share of Class A Common Stock; or</w:t>
      </w:r>
    </w:p>
    <w:p>
      <w:pPr>
        <w:spacing w:after="0" w:line="165" w:lineRule="exact"/>
        <w:rPr>
          <w:sz w:val="20"/>
          <w:szCs w:val="20"/>
          <w:color w:val="auto"/>
        </w:rPr>
      </w:pPr>
    </w:p>
    <w:p>
      <w:pPr>
        <w:ind w:left="3200" w:hanging="600"/>
        <w:spacing w:after="0"/>
        <w:tabs>
          <w:tab w:leader="none" w:pos="3200" w:val="left"/>
        </w:tabs>
        <w:numPr>
          <w:ilvl w:val="1"/>
          <w:numId w:val="192"/>
        </w:numPr>
        <w:rPr>
          <w:rFonts w:ascii="Arial" w:cs="Arial" w:eastAsia="Arial" w:hAnsi="Arial"/>
          <w:sz w:val="18"/>
          <w:szCs w:val="18"/>
          <w:b w:val="1"/>
          <w:bCs w:val="1"/>
          <w:color w:val="auto"/>
        </w:rPr>
      </w:pPr>
      <w:r>
        <w:rPr>
          <w:rFonts w:ascii="Arial" w:cs="Arial" w:eastAsia="Arial" w:hAnsi="Arial"/>
          <w:sz w:val="18"/>
          <w:szCs w:val="18"/>
          <w:color w:val="auto"/>
        </w:rPr>
        <w:t>an entity deemed to be a Permitted Entity by the written consent or affirmative vote of the holders of</w:t>
      </w:r>
    </w:p>
    <w:p>
      <w:pPr>
        <w:spacing w:after="0" w:line="38" w:lineRule="exact"/>
        <w:rPr>
          <w:rFonts w:ascii="Arial" w:cs="Arial" w:eastAsia="Arial" w:hAnsi="Arial"/>
          <w:sz w:val="18"/>
          <w:szCs w:val="18"/>
          <w:b w:val="1"/>
          <w:bCs w:val="1"/>
          <w:color w:val="auto"/>
        </w:rPr>
      </w:pPr>
    </w:p>
    <w:p>
      <w:pPr>
        <w:ind w:firstLine="8"/>
        <w:spacing w:after="0" w:line="244" w:lineRule="auto"/>
        <w:tabs>
          <w:tab w:leader="none" w:pos="238"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a majority of the then outstanding shares of Class B Common Stock, consenting in writing or voting as a single class </w:t>
      </w:r>
      <w:r>
        <w:rPr>
          <w:rFonts w:ascii="Arial" w:cs="Arial" w:eastAsia="Arial" w:hAnsi="Arial"/>
          <w:sz w:val="20"/>
          <w:szCs w:val="20"/>
          <w:color w:val="020202"/>
        </w:rPr>
        <w:t>and (ii</w:t>
      </w:r>
      <w:r>
        <w:rPr>
          <w:rFonts w:ascii="Arial" w:cs="Arial" w:eastAsia="Arial" w:hAnsi="Arial"/>
          <w:sz w:val="20"/>
          <w:szCs w:val="20"/>
          <w:color w:val="auto"/>
        </w:rPr>
        <w:t>) a majority of the Independent Directors.</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For purposes of this Section 5, (i) a Class B Stockholder shall be deemed to continue to have sole dispositive power and exclusive Voting Control with respect to the shares of Class B Common Stock subject to a Transfer if such Class B Stockholder has the direct or indirect power to terminate, remove, or replace any person or entity having dispositive power or Voting Control over the applicable shares after such Transfer and (ii) Tim Chen shall be deemed to be a Class B Stockholder regardless of whether he holds Class B Common Stock directly or indirectly through one or more Permitted Entities.</w:t>
      </w:r>
    </w:p>
    <w:p>
      <w:pPr>
        <w:spacing w:after="0" w:line="188" w:lineRule="exact"/>
        <w:rPr>
          <w:sz w:val="20"/>
          <w:szCs w:val="20"/>
          <w:color w:val="auto"/>
        </w:rPr>
      </w:pPr>
    </w:p>
    <w:p>
      <w:pPr>
        <w:jc w:val="both"/>
        <w:ind w:firstLine="1952"/>
        <w:spacing w:after="0" w:line="248" w:lineRule="auto"/>
        <w:tabs>
          <w:tab w:leader="none" w:pos="2383" w:val="left"/>
        </w:tabs>
        <w:numPr>
          <w:ilvl w:val="0"/>
          <w:numId w:val="194"/>
        </w:numPr>
        <w:rPr>
          <w:rFonts w:ascii="Arial" w:cs="Arial" w:eastAsia="Arial" w:hAnsi="Arial"/>
          <w:sz w:val="20"/>
          <w:szCs w:val="20"/>
          <w:b w:val="1"/>
          <w:bCs w:val="1"/>
          <w:color w:val="auto"/>
        </w:rPr>
      </w:pPr>
      <w:r>
        <w:rPr>
          <w:rFonts w:ascii="Arial" w:cs="Arial" w:eastAsia="Arial" w:hAnsi="Arial"/>
          <w:sz w:val="20"/>
          <w:szCs w:val="20"/>
          <w:b w:val="1"/>
          <w:bCs w:val="1"/>
          <w:color w:val="auto"/>
        </w:rPr>
        <w:t>Final Conversion</w:t>
      </w:r>
      <w:r>
        <w:rPr>
          <w:rFonts w:ascii="Arial" w:cs="Arial" w:eastAsia="Arial" w:hAnsi="Arial"/>
          <w:sz w:val="20"/>
          <w:szCs w:val="20"/>
          <w:color w:val="auto"/>
        </w:rPr>
        <w:t>. Each share of Class B Common Stock held of record by a Class B Stockholder, or by such</w:t>
      </w:r>
      <w:r>
        <w:rPr>
          <w:rFonts w:ascii="Arial" w:cs="Arial" w:eastAsia="Arial" w:hAnsi="Arial"/>
          <w:sz w:val="20"/>
          <w:szCs w:val="20"/>
          <w:b w:val="1"/>
          <w:bCs w:val="1"/>
          <w:color w:val="auto"/>
        </w:rPr>
        <w:t xml:space="preserve"> </w:t>
      </w:r>
      <w:r>
        <w:rPr>
          <w:rFonts w:ascii="Arial" w:cs="Arial" w:eastAsia="Arial" w:hAnsi="Arial"/>
          <w:sz w:val="20"/>
          <w:szCs w:val="20"/>
          <w:color w:val="auto"/>
        </w:rPr>
        <w:t>Class B Stockholder’s Permitted Entities, shall automatically, without any further action, convert into one (1) fully paid and nonassessable share of Class A Common Stock on the Final Conversion Date. Following the Final Conversion Date, the Company may no longer issue any additional shares of Class B Common Stock.</w:t>
      </w:r>
    </w:p>
    <w:p>
      <w:pPr>
        <w:spacing w:after="0" w:line="183" w:lineRule="exact"/>
        <w:rPr>
          <w:rFonts w:ascii="Arial" w:cs="Arial" w:eastAsia="Arial" w:hAnsi="Arial"/>
          <w:sz w:val="20"/>
          <w:szCs w:val="20"/>
          <w:b w:val="1"/>
          <w:bCs w:val="1"/>
          <w:color w:val="auto"/>
        </w:rPr>
      </w:pPr>
    </w:p>
    <w:p>
      <w:pPr>
        <w:jc w:val="both"/>
        <w:ind w:firstLine="1952"/>
        <w:spacing w:after="0" w:line="305" w:lineRule="auto"/>
        <w:tabs>
          <w:tab w:leader="none" w:pos="2420"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 of Conversion. </w:t>
      </w:r>
      <w:r>
        <w:rPr>
          <w:rFonts w:ascii="Arial" w:cs="Arial" w:eastAsia="Arial" w:hAnsi="Arial"/>
          <w:sz w:val="16"/>
          <w:szCs w:val="16"/>
          <w:color w:val="auto"/>
        </w:rPr>
        <w:t>In the event of a conversion of shares of Class B Common Stock to shares of Class A</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pursuant to this Section 5, such conversion shall be deemed to have been made (i) at the time that the Company or its transfer agent receives the written notice required pursuant to Subsection 5(a), (ii) at the time that a Transfer of such shares triggering conversion pursuant to Subsection 5(b) has occurred, or (iii) on the Final Conversion Date, as applicable. Upon any conversion of shares of Class B Common Stock to shares of Class A Common Stock, all rights of the holder of such shares of Class B Common Stock shall cease and the person or persons in whose names or names the certificate or certificates (or book-entry position(s)) representing the shares of Class A Common Stock are to be issued shall thereafter be treated for all purposes as having become the record holder of such number of shares of Class A Common Stock into which such holder’s shares of Class B Common Stock were convertible. Shares of Class B Common Stock that are converted into shares of Class A Common Stock as provided in this Section 5 shall be retired and shall not be reissued. Upon the occurrence of such conversion of shares of Class B Common Stock to shares of Class A Common Stock, the holders of Class B Common Stock so converted shall surrender the certificates representing such shares (if any) at the office of the Company or its transfer agent. Such conversion shall occur whether or not the certificates representing such shares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are either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9" w:right="339" w:bottom="1440" w:gutter="0" w:footer="0" w:header="0"/>
        </w:sectPr>
      </w:pPr>
    </w:p>
    <w:bookmarkStart w:id="258" w:name="page259"/>
    <w:bookmarkEnd w:id="258"/>
    <w:p>
      <w:pPr>
        <w:jc w:val="both"/>
        <w:ind w:firstLine="1952"/>
        <w:spacing w:after="0" w:line="248" w:lineRule="auto"/>
        <w:tabs>
          <w:tab w:leader="none" w:pos="2451" w:val="left"/>
        </w:tabs>
        <w:numPr>
          <w:ilvl w:val="1"/>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Reservation of Stock. </w:t>
      </w:r>
      <w:r>
        <w:rPr>
          <w:rFonts w:ascii="Arial" w:cs="Arial" w:eastAsia="Arial" w:hAnsi="Arial"/>
          <w:sz w:val="20"/>
          <w:szCs w:val="20"/>
          <w:color w:val="auto"/>
        </w:rPr>
        <w:t>The Company shall at all times reserve and keep available out of its authorized but</w:t>
      </w:r>
      <w:r>
        <w:rPr>
          <w:rFonts w:ascii="Arial" w:cs="Arial" w:eastAsia="Arial" w:hAnsi="Arial"/>
          <w:sz w:val="20"/>
          <w:szCs w:val="20"/>
          <w:b w:val="1"/>
          <w:bCs w:val="1"/>
          <w:color w:val="auto"/>
        </w:rPr>
        <w:t xml:space="preserve"> </w:t>
      </w:r>
      <w:r>
        <w:rPr>
          <w:rFonts w:ascii="Arial" w:cs="Arial" w:eastAsia="Arial" w:hAnsi="Arial"/>
          <w:sz w:val="20"/>
          <w:szCs w:val="20"/>
          <w:color w:val="auto"/>
        </w:rPr>
        <w:t>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183" w:lineRule="exact"/>
        <w:rPr>
          <w:rFonts w:ascii="Arial" w:cs="Arial" w:eastAsia="Arial" w:hAnsi="Arial"/>
          <w:sz w:val="20"/>
          <w:szCs w:val="20"/>
          <w:b w:val="1"/>
          <w:bCs w:val="1"/>
          <w:color w:val="auto"/>
        </w:rPr>
      </w:pPr>
    </w:p>
    <w:p>
      <w:pPr>
        <w:ind w:left="1660" w:hanging="356"/>
        <w:spacing w:after="0"/>
        <w:tabs>
          <w:tab w:leader="none" w:pos="1660"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color w:val="auto"/>
        </w:rPr>
        <w:t>Redemption</w:t>
      </w:r>
      <w:r>
        <w:rPr>
          <w:rFonts w:ascii="Arial" w:cs="Arial" w:eastAsia="Arial" w:hAnsi="Arial"/>
          <w:sz w:val="20"/>
          <w:szCs w:val="20"/>
          <w:color w:val="auto"/>
        </w:rPr>
        <w:t>. The Common Stock is not redeemable.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w:t>
      </w:r>
    </w:p>
    <w:p>
      <w:pPr>
        <w:spacing w:after="0" w:line="222"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124" w:lineRule="exact"/>
        <w:rPr>
          <w:sz w:val="20"/>
          <w:szCs w:val="20"/>
          <w:color w:val="auto"/>
        </w:rPr>
      </w:pPr>
    </w:p>
    <w:p>
      <w:pPr>
        <w:ind w:left="1040" w:hanging="384"/>
        <w:spacing w:after="0"/>
        <w:tabs>
          <w:tab w:leader="none" w:pos="1040" w:val="left"/>
        </w:tabs>
        <w:numPr>
          <w:ilvl w:val="0"/>
          <w:numId w:val="197"/>
        </w:numPr>
        <w:rPr>
          <w:rFonts w:ascii="Arial" w:cs="Arial" w:eastAsia="Arial" w:hAnsi="Arial"/>
          <w:sz w:val="20"/>
          <w:szCs w:val="20"/>
          <w:b w:val="1"/>
          <w:bCs w:val="1"/>
          <w:color w:val="auto"/>
        </w:rPr>
      </w:pPr>
      <w:r>
        <w:rPr>
          <w:rFonts w:ascii="Arial" w:cs="Arial" w:eastAsia="Arial" w:hAnsi="Arial"/>
          <w:sz w:val="20"/>
          <w:szCs w:val="20"/>
          <w:b w:val="1"/>
          <w:bCs w:val="1"/>
          <w:color w:val="auto"/>
        </w:rPr>
        <w:t>Board of Directors</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jc w:val="both"/>
        <w:ind w:firstLine="1304"/>
        <w:spacing w:after="0" w:line="253" w:lineRule="auto"/>
        <w:tabs>
          <w:tab w:leader="none" w:pos="1642" w:val="left"/>
        </w:tabs>
        <w:numPr>
          <w:ilvl w:val="1"/>
          <w:numId w:val="197"/>
        </w:numPr>
        <w:rPr>
          <w:rFonts w:ascii="Arial" w:cs="Arial" w:eastAsia="Arial" w:hAnsi="Arial"/>
          <w:sz w:val="20"/>
          <w:szCs w:val="20"/>
          <w:b w:val="1"/>
          <w:bCs w:val="1"/>
          <w:color w:val="auto"/>
        </w:rPr>
      </w:pPr>
      <w:r>
        <w:rPr>
          <w:rFonts w:ascii="Arial" w:cs="Arial" w:eastAsia="Arial" w:hAnsi="Arial"/>
          <w:sz w:val="20"/>
          <w:szCs w:val="20"/>
          <w:b w:val="1"/>
          <w:bCs w:val="1"/>
          <w:color w:val="auto"/>
        </w:rPr>
        <w:t>Generally</w:t>
      </w:r>
      <w:r>
        <w:rPr>
          <w:rFonts w:ascii="Arial" w:cs="Arial" w:eastAsia="Arial" w:hAnsi="Arial"/>
          <w:sz w:val="20"/>
          <w:szCs w:val="20"/>
          <w:color w:val="auto"/>
        </w:rPr>
        <w:t>. Except as otherwise provided in the Certificate of Incorporation or the DGCL, the business and affairs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shall be managed by or under the direction of the Board of Directors. The number of directors that shall constitute the Board of Directors shall be fixed exclusively by resolutions adopted by the Board of Directors.</w:t>
      </w:r>
    </w:p>
    <w:p>
      <w:pPr>
        <w:spacing w:after="0" w:line="177" w:lineRule="exact"/>
        <w:rPr>
          <w:rFonts w:ascii="Arial" w:cs="Arial" w:eastAsia="Arial" w:hAnsi="Arial"/>
          <w:sz w:val="20"/>
          <w:szCs w:val="20"/>
          <w:b w:val="1"/>
          <w:bCs w:val="1"/>
          <w:color w:val="auto"/>
        </w:rPr>
      </w:pPr>
    </w:p>
    <w:p>
      <w:pPr>
        <w:ind w:left="1660" w:hanging="356"/>
        <w:spacing w:after="0"/>
        <w:tabs>
          <w:tab w:leader="none" w:pos="1660" w:val="left"/>
        </w:tabs>
        <w:numPr>
          <w:ilvl w:val="1"/>
          <w:numId w:val="197"/>
        </w:numPr>
        <w:rPr>
          <w:rFonts w:ascii="Arial" w:cs="Arial" w:eastAsia="Arial" w:hAnsi="Arial"/>
          <w:sz w:val="20"/>
          <w:szCs w:val="20"/>
          <w:b w:val="1"/>
          <w:bCs w:val="1"/>
          <w:color w:val="auto"/>
        </w:rPr>
      </w:pPr>
      <w:r>
        <w:rPr>
          <w:rFonts w:ascii="Arial" w:cs="Arial" w:eastAsia="Arial" w:hAnsi="Arial"/>
          <w:sz w:val="20"/>
          <w:szCs w:val="20"/>
          <w:b w:val="1"/>
          <w:bCs w:val="1"/>
          <w:color w:val="auto"/>
        </w:rPr>
        <w:t>Election</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1952"/>
        <w:spacing w:after="0" w:line="263" w:lineRule="auto"/>
        <w:tabs>
          <w:tab w:leader="none" w:pos="2386" w:val="left"/>
        </w:tabs>
        <w:numPr>
          <w:ilvl w:val="2"/>
          <w:numId w:val="197"/>
        </w:numPr>
        <w:rPr>
          <w:rFonts w:ascii="Arial" w:cs="Arial" w:eastAsia="Arial" w:hAnsi="Arial"/>
          <w:sz w:val="19"/>
          <w:szCs w:val="19"/>
          <w:b w:val="1"/>
          <w:bCs w:val="1"/>
          <w:color w:val="auto"/>
        </w:rPr>
      </w:pPr>
      <w:r>
        <w:rPr>
          <w:rFonts w:ascii="Arial" w:cs="Arial" w:eastAsia="Arial" w:hAnsi="Arial"/>
          <w:sz w:val="19"/>
          <w:szCs w:val="19"/>
          <w:color w:val="auto"/>
        </w:rPr>
        <w:t>Subject to the rights of the holders of any series of Preferred Stock to elect additional directors under specified circumstances, directors shall be elected at each annual meeting of stockholders for a term of one year.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76" w:lineRule="exact"/>
        <w:rPr>
          <w:rFonts w:ascii="Arial" w:cs="Arial" w:eastAsia="Arial" w:hAnsi="Arial"/>
          <w:sz w:val="19"/>
          <w:szCs w:val="19"/>
          <w:b w:val="1"/>
          <w:bCs w:val="1"/>
          <w:color w:val="auto"/>
        </w:rPr>
      </w:pPr>
    </w:p>
    <w:p>
      <w:pPr>
        <w:ind w:left="2400" w:hanging="448"/>
        <w:spacing w:after="0"/>
        <w:tabs>
          <w:tab w:leader="none" w:pos="2400" w:val="left"/>
        </w:tabs>
        <w:numPr>
          <w:ilvl w:val="2"/>
          <w:numId w:val="197"/>
        </w:numPr>
        <w:rPr>
          <w:rFonts w:ascii="Arial" w:cs="Arial" w:eastAsia="Arial" w:hAnsi="Arial"/>
          <w:sz w:val="20"/>
          <w:szCs w:val="20"/>
          <w:b w:val="1"/>
          <w:bCs w:val="1"/>
          <w:color w:val="auto"/>
        </w:rPr>
      </w:pPr>
      <w:r>
        <w:rPr>
          <w:rFonts w:ascii="Arial" w:cs="Arial" w:eastAsia="Arial" w:hAnsi="Arial"/>
          <w:sz w:val="20"/>
          <w:szCs w:val="20"/>
          <w:color w:val="auto"/>
        </w:rPr>
        <w:t>No stockholder entitled to vote at an election for directors may cumulate votes.</w:t>
      </w:r>
    </w:p>
    <w:p>
      <w:pPr>
        <w:spacing w:after="0" w:line="215" w:lineRule="exact"/>
        <w:rPr>
          <w:rFonts w:ascii="Arial" w:cs="Arial" w:eastAsia="Arial" w:hAnsi="Arial"/>
          <w:sz w:val="20"/>
          <w:szCs w:val="20"/>
          <w:b w:val="1"/>
          <w:bCs w:val="1"/>
          <w:color w:val="auto"/>
        </w:rPr>
      </w:pPr>
    </w:p>
    <w:p>
      <w:pPr>
        <w:ind w:left="2360" w:hanging="408"/>
        <w:spacing w:after="0"/>
        <w:tabs>
          <w:tab w:leader="none" w:pos="2360" w:val="left"/>
        </w:tabs>
        <w:numPr>
          <w:ilvl w:val="2"/>
          <w:numId w:val="197"/>
        </w:numPr>
        <w:rPr>
          <w:rFonts w:ascii="Arial" w:cs="Arial" w:eastAsia="Arial" w:hAnsi="Arial"/>
          <w:sz w:val="20"/>
          <w:szCs w:val="20"/>
          <w:b w:val="1"/>
          <w:bCs w:val="1"/>
          <w:color w:val="auto"/>
        </w:rPr>
      </w:pPr>
      <w:r>
        <w:rPr>
          <w:rFonts w:ascii="Arial" w:cs="Arial" w:eastAsia="Arial" w:hAnsi="Arial"/>
          <w:sz w:val="20"/>
          <w:szCs w:val="20"/>
          <w:color w:val="auto"/>
        </w:rPr>
        <w:t>Election of directors need not be by written ballot unless the Bylaws so provide.</w:t>
      </w:r>
    </w:p>
    <w:p>
      <w:pPr>
        <w:spacing w:after="0" w:line="209" w:lineRule="exact"/>
        <w:rPr>
          <w:rFonts w:ascii="Arial" w:cs="Arial" w:eastAsia="Arial" w:hAnsi="Arial"/>
          <w:sz w:val="20"/>
          <w:szCs w:val="20"/>
          <w:b w:val="1"/>
          <w:bCs w:val="1"/>
          <w:color w:val="auto"/>
        </w:rPr>
      </w:pPr>
    </w:p>
    <w:p>
      <w:pPr>
        <w:ind w:firstLine="1304"/>
        <w:spacing w:after="0" w:line="267" w:lineRule="auto"/>
        <w:tabs>
          <w:tab w:leader="none" w:pos="1822" w:val="left"/>
        </w:tabs>
        <w:numPr>
          <w:ilvl w:val="1"/>
          <w:numId w:val="197"/>
        </w:numPr>
        <w:rPr>
          <w:rFonts w:ascii="Arial" w:cs="Arial" w:eastAsia="Arial" w:hAnsi="Arial"/>
          <w:sz w:val="20"/>
          <w:szCs w:val="20"/>
          <w:b w:val="1"/>
          <w:bCs w:val="1"/>
          <w:color w:val="auto"/>
        </w:rPr>
      </w:pPr>
      <w:r>
        <w:rPr>
          <w:rFonts w:ascii="Arial" w:cs="Arial" w:eastAsia="Arial" w:hAnsi="Arial"/>
          <w:sz w:val="20"/>
          <w:szCs w:val="20"/>
          <w:b w:val="1"/>
          <w:bCs w:val="1"/>
          <w:color w:val="auto"/>
        </w:rPr>
        <w:t>Removal of Directors</w:t>
      </w:r>
      <w:r>
        <w:rPr>
          <w:rFonts w:ascii="Arial" w:cs="Arial" w:eastAsia="Arial" w:hAnsi="Arial"/>
          <w:sz w:val="20"/>
          <w:szCs w:val="20"/>
          <w:color w:val="auto"/>
        </w:rPr>
        <w:t>. Subject to any limitations imposed by applicable law, removal shall be as provided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141(k) of the DGCL.</w:t>
      </w:r>
    </w:p>
    <w:p>
      <w:pPr>
        <w:spacing w:after="0" w:line="163" w:lineRule="exact"/>
        <w:rPr>
          <w:rFonts w:ascii="Arial" w:cs="Arial" w:eastAsia="Arial" w:hAnsi="Arial"/>
          <w:sz w:val="20"/>
          <w:szCs w:val="20"/>
          <w:b w:val="1"/>
          <w:bCs w:val="1"/>
          <w:color w:val="auto"/>
        </w:rPr>
      </w:pPr>
    </w:p>
    <w:p>
      <w:pPr>
        <w:jc w:val="both"/>
        <w:ind w:firstLine="1304"/>
        <w:spacing w:after="0" w:line="243" w:lineRule="auto"/>
        <w:tabs>
          <w:tab w:leader="none" w:pos="1652" w:val="left"/>
        </w:tabs>
        <w:numPr>
          <w:ilvl w:val="1"/>
          <w:numId w:val="197"/>
        </w:numPr>
        <w:rPr>
          <w:rFonts w:ascii="Arial" w:cs="Arial" w:eastAsia="Arial" w:hAnsi="Arial"/>
          <w:sz w:val="20"/>
          <w:szCs w:val="20"/>
          <w:b w:val="1"/>
          <w:bCs w:val="1"/>
          <w:color w:val="auto"/>
        </w:rPr>
      </w:pPr>
      <w:r>
        <w:rPr>
          <w:rFonts w:ascii="Arial" w:cs="Arial" w:eastAsia="Arial" w:hAnsi="Arial"/>
          <w:sz w:val="20"/>
          <w:szCs w:val="20"/>
          <w:b w:val="1"/>
          <w:bCs w:val="1"/>
          <w:color w:val="auto"/>
        </w:rPr>
        <w:t>Vacancies</w:t>
      </w:r>
      <w:r>
        <w:rPr>
          <w:rFonts w:ascii="Arial" w:cs="Arial" w:eastAsia="Arial" w:hAnsi="Arial"/>
          <w:sz w:val="20"/>
          <w:szCs w:val="20"/>
          <w:color w:val="auto"/>
        </w:rPr>
        <w:t>. Subject to any limitations imposed by applicable law and subject to the rights of the holders of any series of</w:t>
      </w:r>
      <w:r>
        <w:rPr>
          <w:rFonts w:ascii="Arial" w:cs="Arial" w:eastAsia="Arial" w:hAnsi="Arial"/>
          <w:sz w:val="20"/>
          <w:szCs w:val="20"/>
          <w:b w:val="1"/>
          <w:bCs w:val="1"/>
          <w:color w:val="auto"/>
        </w:rPr>
        <w:t xml:space="preserve"> </w:t>
      </w:r>
      <w:r>
        <w:rPr>
          <w:rFonts w:ascii="Arial" w:cs="Arial" w:eastAsia="Arial" w:hAnsi="Arial"/>
          <w:sz w:val="20"/>
          <w:szCs w:val="20"/>
          <w:color w:val="auto"/>
        </w:rPr>
        <w:t>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Board of Directors by a majority of the directors then in office, although less than a quorum, or by the sole remaining director,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3" w:right="339" w:bottom="1440" w:gutter="0" w:footer="0" w:header="0"/>
        </w:sectPr>
      </w:pPr>
    </w:p>
    <w:bookmarkStart w:id="259" w:name="page260"/>
    <w:bookmarkEnd w:id="259"/>
    <w:p>
      <w:pPr>
        <w:jc w:val="both"/>
        <w:ind w:firstLine="1304"/>
        <w:spacing w:after="0" w:line="271" w:lineRule="auto"/>
        <w:tabs>
          <w:tab w:leader="none" w:pos="1653"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Directors</w:t>
      </w:r>
      <w:r>
        <w:rPr>
          <w:rFonts w:ascii="Arial" w:cs="Arial" w:eastAsia="Arial" w:hAnsi="Arial"/>
          <w:sz w:val="18"/>
          <w:szCs w:val="18"/>
          <w:color w:val="auto"/>
        </w:rPr>
        <w:t>. Notwithstanding anything herein to the contrary, during any period when the holders of any series</w:t>
      </w:r>
      <w:r>
        <w:rPr>
          <w:rFonts w:ascii="Arial" w:cs="Arial" w:eastAsia="Arial" w:hAnsi="Arial"/>
          <w:sz w:val="18"/>
          <w:szCs w:val="18"/>
          <w:b w:val="1"/>
          <w:bCs w:val="1"/>
          <w:color w:val="auto"/>
        </w:rPr>
        <w:t xml:space="preserve"> </w:t>
      </w:r>
      <w:r>
        <w:rPr>
          <w:rFonts w:ascii="Arial" w:cs="Arial" w:eastAsia="Arial" w:hAnsi="Arial"/>
          <w:sz w:val="18"/>
          <w:szCs w:val="18"/>
          <w:color w:val="auto"/>
        </w:rPr>
        <w:t>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Company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Company shall be reduced accordingly.</w:t>
      </w:r>
    </w:p>
    <w:p>
      <w:pPr>
        <w:spacing w:after="0" w:line="165" w:lineRule="exact"/>
        <w:rPr>
          <w:rFonts w:ascii="Arial" w:cs="Arial" w:eastAsia="Arial" w:hAnsi="Arial"/>
          <w:sz w:val="18"/>
          <w:szCs w:val="18"/>
          <w:b w:val="1"/>
          <w:bCs w:val="1"/>
          <w:color w:val="auto"/>
        </w:rPr>
      </w:pPr>
    </w:p>
    <w:p>
      <w:pPr>
        <w:jc w:val="both"/>
        <w:ind w:firstLine="656"/>
        <w:spacing w:after="0" w:line="265" w:lineRule="auto"/>
        <w:tabs>
          <w:tab w:leader="none" w:pos="1070" w:val="left"/>
        </w:tabs>
        <w:numPr>
          <w:ilvl w:val="0"/>
          <w:numId w:val="199"/>
        </w:numPr>
        <w:rPr>
          <w:rFonts w:ascii="Arial" w:cs="Arial" w:eastAsia="Arial" w:hAnsi="Arial"/>
          <w:sz w:val="19"/>
          <w:szCs w:val="19"/>
          <w:b w:val="1"/>
          <w:bCs w:val="1"/>
          <w:color w:val="auto"/>
        </w:rPr>
      </w:pPr>
      <w:r>
        <w:rPr>
          <w:rFonts w:ascii="Arial" w:cs="Arial" w:eastAsia="Arial" w:hAnsi="Arial"/>
          <w:sz w:val="19"/>
          <w:szCs w:val="19"/>
          <w:b w:val="1"/>
          <w:bCs w:val="1"/>
          <w:color w:val="auto"/>
        </w:rPr>
        <w:t>Stockholder Actions</w:t>
      </w:r>
      <w:r>
        <w:rPr>
          <w:rFonts w:ascii="Arial" w:cs="Arial" w:eastAsia="Arial" w:hAnsi="Arial"/>
          <w:sz w:val="19"/>
          <w:szCs w:val="19"/>
          <w:color w:val="auto"/>
        </w:rPr>
        <w:t>. No action shall be taken by the stockholders of the Company except at an annual or special meeting of</w:t>
      </w:r>
      <w:r>
        <w:rPr>
          <w:rFonts w:ascii="Arial" w:cs="Arial" w:eastAsia="Arial" w:hAnsi="Arial"/>
          <w:sz w:val="19"/>
          <w:szCs w:val="19"/>
          <w:b w:val="1"/>
          <w:bCs w:val="1"/>
          <w:color w:val="auto"/>
        </w:rPr>
        <w:t xml:space="preserve"> </w:t>
      </w:r>
      <w:r>
        <w:rPr>
          <w:rFonts w:ascii="Arial" w:cs="Arial" w:eastAsia="Arial" w:hAnsi="Arial"/>
          <w:sz w:val="19"/>
          <w:szCs w:val="19"/>
          <w:color w:val="auto"/>
        </w:rPr>
        <w:t>stockholders called in accordance with the Bylaws and, except as otherwise provided herein, no action shall be taken by the stockholders by written consent. Advance notice of stockholder nominations for the election of directors and of business to be brought by stockholders before any meeting of the stockholders of the Company shall be given in the manner provided in the Bylaws.</w:t>
      </w:r>
    </w:p>
    <w:p>
      <w:pPr>
        <w:spacing w:after="0" w:line="169" w:lineRule="exact"/>
        <w:rPr>
          <w:rFonts w:ascii="Arial" w:cs="Arial" w:eastAsia="Arial" w:hAnsi="Arial"/>
          <w:sz w:val="19"/>
          <w:szCs w:val="19"/>
          <w:b w:val="1"/>
          <w:bCs w:val="1"/>
          <w:color w:val="auto"/>
        </w:rPr>
      </w:pPr>
    </w:p>
    <w:p>
      <w:pPr>
        <w:jc w:val="both"/>
        <w:ind w:firstLine="656"/>
        <w:spacing w:after="0" w:line="246" w:lineRule="auto"/>
        <w:tabs>
          <w:tab w:leader="none" w:pos="1038" w:val="left"/>
        </w:tabs>
        <w:numPr>
          <w:ilvl w:val="0"/>
          <w:numId w:val="199"/>
        </w:numPr>
        <w:rPr>
          <w:rFonts w:ascii="Arial" w:cs="Arial" w:eastAsia="Arial" w:hAnsi="Arial"/>
          <w:sz w:val="20"/>
          <w:szCs w:val="20"/>
          <w:b w:val="1"/>
          <w:bCs w:val="1"/>
          <w:color w:val="auto"/>
        </w:rPr>
      </w:pPr>
      <w:r>
        <w:rPr>
          <w:rFonts w:ascii="Arial" w:cs="Arial" w:eastAsia="Arial" w:hAnsi="Arial"/>
          <w:sz w:val="20"/>
          <w:szCs w:val="20"/>
          <w:b w:val="1"/>
          <w:bCs w:val="1"/>
          <w:color w:val="auto"/>
        </w:rPr>
        <w:t>Bylaws</w:t>
      </w:r>
      <w:r>
        <w:rPr>
          <w:rFonts w:ascii="Arial" w:cs="Arial" w:eastAsia="Arial" w:hAnsi="Arial"/>
          <w:sz w:val="20"/>
          <w:szCs w:val="20"/>
          <w:color w:val="auto"/>
        </w:rPr>
        <w:t>. The Board of Directors is expressly empowered to adopt, amend or repeal the Bylaws. The stockholders shall also have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power to adopt, amend or repeal the Bylaws;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in addition to any vote of the holders of any class or series of stock of the Company required by law or by the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w:t>
      </w:r>
    </w:p>
    <w:p>
      <w:pPr>
        <w:spacing w:after="0" w:line="222" w:lineRule="exact"/>
        <w:rPr>
          <w:sz w:val="20"/>
          <w:szCs w:val="20"/>
          <w:color w:val="auto"/>
        </w:rPr>
      </w:pPr>
    </w:p>
    <w:p>
      <w:pPr>
        <w:ind w:firstLine="656"/>
        <w:spacing w:after="0" w:line="260" w:lineRule="auto"/>
        <w:tabs>
          <w:tab w:leader="none" w:pos="1038" w:val="left"/>
        </w:tabs>
        <w:numPr>
          <w:ilvl w:val="0"/>
          <w:numId w:val="200"/>
        </w:numPr>
        <w:rPr>
          <w:rFonts w:ascii="Arial" w:cs="Arial" w:eastAsia="Arial" w:hAnsi="Arial"/>
          <w:sz w:val="20"/>
          <w:szCs w:val="20"/>
          <w:b w:val="1"/>
          <w:bCs w:val="1"/>
          <w:color w:val="auto"/>
        </w:rPr>
      </w:pPr>
      <w:r>
        <w:rPr>
          <w:rFonts w:ascii="Arial" w:cs="Arial" w:eastAsia="Arial" w:hAnsi="Arial"/>
          <w:sz w:val="20"/>
          <w:szCs w:val="20"/>
          <w:color w:val="auto"/>
        </w:rPr>
        <w:t>The liability of the directors of the Company for monetary damages for breach of fiduciary duty as a director shall be eliminated to the fullest extent permitted under applicable law.</w:t>
      </w:r>
    </w:p>
    <w:p>
      <w:pPr>
        <w:spacing w:after="0" w:line="176" w:lineRule="exact"/>
        <w:rPr>
          <w:rFonts w:ascii="Arial" w:cs="Arial" w:eastAsia="Arial" w:hAnsi="Arial"/>
          <w:sz w:val="20"/>
          <w:szCs w:val="20"/>
          <w:b w:val="1"/>
          <w:bCs w:val="1"/>
          <w:color w:val="auto"/>
        </w:rPr>
      </w:pPr>
    </w:p>
    <w:p>
      <w:pPr>
        <w:jc w:val="both"/>
        <w:ind w:firstLine="656"/>
        <w:spacing w:after="0" w:line="246" w:lineRule="auto"/>
        <w:tabs>
          <w:tab w:leader="none" w:pos="1054" w:val="left"/>
        </w:tabs>
        <w:numPr>
          <w:ilvl w:val="0"/>
          <w:numId w:val="200"/>
        </w:numPr>
        <w:rPr>
          <w:rFonts w:ascii="Arial" w:cs="Arial" w:eastAsia="Arial" w:hAnsi="Arial"/>
          <w:sz w:val="20"/>
          <w:szCs w:val="20"/>
          <w:b w:val="1"/>
          <w:bCs w:val="1"/>
          <w:color w:val="auto"/>
        </w:rPr>
      </w:pPr>
      <w:r>
        <w:rPr>
          <w:rFonts w:ascii="Arial" w:cs="Arial" w:eastAsia="Arial" w:hAnsi="Arial"/>
          <w:sz w:val="20"/>
          <w:szCs w:val="20"/>
          <w:color w:val="auto"/>
        </w:rPr>
        <w:t>To the fullest extent permitted by applicable law, the Company may provide indemnification of (and advancement of expenses to) directors, officers, and other agents of the Company (and any other persons to which applicable law permits the Company to provide indemnification) through Bylaw provisions, agreements with such agents or other persons, vote of stockholders or disinterested directors or otherwise.</w:t>
      </w:r>
    </w:p>
    <w:p>
      <w:pPr>
        <w:spacing w:after="0" w:line="191" w:lineRule="exact"/>
        <w:rPr>
          <w:rFonts w:ascii="Arial" w:cs="Arial" w:eastAsia="Arial" w:hAnsi="Arial"/>
          <w:sz w:val="20"/>
          <w:szCs w:val="20"/>
          <w:b w:val="1"/>
          <w:bCs w:val="1"/>
          <w:color w:val="auto"/>
        </w:rPr>
      </w:pPr>
    </w:p>
    <w:p>
      <w:pPr>
        <w:ind w:firstLine="656"/>
        <w:spacing w:after="0" w:line="260" w:lineRule="auto"/>
        <w:tabs>
          <w:tab w:leader="none" w:pos="1092" w:val="left"/>
        </w:tabs>
        <w:numPr>
          <w:ilvl w:val="0"/>
          <w:numId w:val="200"/>
        </w:numPr>
        <w:rPr>
          <w:rFonts w:ascii="Arial" w:cs="Arial" w:eastAsia="Arial" w:hAnsi="Arial"/>
          <w:sz w:val="20"/>
          <w:szCs w:val="20"/>
          <w:b w:val="1"/>
          <w:bCs w:val="1"/>
          <w:color w:val="auto"/>
        </w:rPr>
      </w:pPr>
      <w:r>
        <w:rPr>
          <w:rFonts w:ascii="Arial" w:cs="Arial" w:eastAsia="Arial" w:hAnsi="Arial"/>
          <w:sz w:val="20"/>
          <w:szCs w:val="20"/>
          <w:color w:val="auto"/>
        </w:rPr>
        <w:t>Any repeal or modification of this Article VI shall only be prospective and shall not affect the rights under this Article VI in effect at the time of the alleged occurrence of any action or omission to act giving rise to liability.</w:t>
      </w:r>
    </w:p>
    <w:p>
      <w:pPr>
        <w:spacing w:after="0" w:line="176" w:lineRule="exact"/>
        <w:rPr>
          <w:rFonts w:ascii="Arial" w:cs="Arial" w:eastAsia="Arial" w:hAnsi="Arial"/>
          <w:sz w:val="20"/>
          <w:szCs w:val="20"/>
          <w:b w:val="1"/>
          <w:bCs w:val="1"/>
          <w:color w:val="auto"/>
        </w:rPr>
      </w:pPr>
    </w:p>
    <w:p>
      <w:pPr>
        <w:ind w:right="20" w:firstLine="656"/>
        <w:spacing w:after="0" w:line="260" w:lineRule="auto"/>
        <w:tabs>
          <w:tab w:leader="none" w:pos="1038" w:val="left"/>
        </w:tabs>
        <w:numPr>
          <w:ilvl w:val="0"/>
          <w:numId w:val="200"/>
        </w:numPr>
        <w:rPr>
          <w:rFonts w:ascii="Arial" w:cs="Arial" w:eastAsia="Arial" w:hAnsi="Arial"/>
          <w:sz w:val="20"/>
          <w:szCs w:val="20"/>
          <w:b w:val="1"/>
          <w:bCs w:val="1"/>
          <w:color w:val="auto"/>
        </w:rPr>
      </w:pPr>
      <w:r>
        <w:rPr>
          <w:rFonts w:ascii="Arial" w:cs="Arial" w:eastAsia="Arial" w:hAnsi="Arial"/>
          <w:sz w:val="20"/>
          <w:szCs w:val="20"/>
          <w:color w:val="auto"/>
        </w:rPr>
        <w:t>Unless the Company consents in writing to the selection of an alternative forum, the Court of Chancery of the State of Delaware (or, if and only if the Court of Chancery of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3" w:right="339" w:bottom="1440" w:gutter="0" w:footer="0" w:header="0"/>
        </w:sectPr>
      </w:pPr>
    </w:p>
    <w:bookmarkStart w:id="260" w:name="page261"/>
    <w:bookmarkEnd w:id="260"/>
    <w:p>
      <w:pPr>
        <w:jc w:val="both"/>
        <w:spacing w:after="0" w:line="269" w:lineRule="auto"/>
        <w:rPr>
          <w:sz w:val="20"/>
          <w:szCs w:val="20"/>
          <w:color w:val="auto"/>
        </w:rPr>
      </w:pPr>
      <w:r>
        <w:rPr>
          <w:rFonts w:ascii="Arial" w:cs="Arial" w:eastAsia="Arial" w:hAnsi="Arial"/>
          <w:sz w:val="18"/>
          <w:szCs w:val="18"/>
          <w:color w:val="auto"/>
        </w:rPr>
        <w:t>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(A) any derivative claim or cause of action brought on behalf of the Company; (B) any claim or cause of action for breach of a fiduciary duty owed by any current or former director, officer or other employee of the Company, to the Company or the Company’s stockholders; (C) any claim or cause of action against the Company or any current or former director, officer or other employee of the Company, arising out of or pursuant to any provision of the DGCL, this Certificate of Incorporation or the Bylaws (as each may be amended from time to time); (D) any claim or cause of action seeking to interpret, apply, enforce or determine the validity of this Certificate of Incorporation or the Bylaws (as each may be amended from time to time, including any right, obligation, or remedy thereunder);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in all cases to the fullest extent permitted by law and subject to the court having personal jurisdiction over the indispensable parties named as defendants. This Section D of Article VI shall not apply to claims or causes of action brought to enforce a duty or liability created by the Securities Act of 1933, as amended (the “</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 or the Securities Exchange Act of 1934, as amended, or any other claim for which the federal courts have exclusive jurisdiction.</w:t>
      </w:r>
    </w:p>
    <w:p>
      <w:pPr>
        <w:spacing w:after="0" w:line="181" w:lineRule="exact"/>
        <w:rPr>
          <w:sz w:val="20"/>
          <w:szCs w:val="20"/>
          <w:color w:val="auto"/>
        </w:rPr>
      </w:pPr>
    </w:p>
    <w:p>
      <w:pPr>
        <w:jc w:val="both"/>
        <w:ind w:firstLine="656"/>
        <w:spacing w:after="0" w:line="250" w:lineRule="auto"/>
        <w:tabs>
          <w:tab w:leader="none" w:pos="1108" w:val="left"/>
        </w:tabs>
        <w:numPr>
          <w:ilvl w:val="0"/>
          <w:numId w:val="201"/>
        </w:numPr>
        <w:rPr>
          <w:rFonts w:ascii="Arial" w:cs="Arial" w:eastAsia="Arial" w:hAnsi="Arial"/>
          <w:sz w:val="20"/>
          <w:szCs w:val="20"/>
          <w:b w:val="1"/>
          <w:bCs w:val="1"/>
          <w:color w:val="auto"/>
        </w:rPr>
      </w:pPr>
      <w:r>
        <w:rPr>
          <w:rFonts w:ascii="Arial" w:cs="Arial" w:eastAsia="Arial" w:hAnsi="Arial"/>
          <w:sz w:val="20"/>
          <w:szCs w:val="20"/>
          <w:color w:val="auto"/>
        </w:rPr>
        <w:t>Unless the Company consents in writing to the selection of an alternative forum, to the fullest extent permitted by law, the federal district courts of the United States of America shall be the exclusive forum for the resolution of any complaint asserting a cause of action arising under the 1933 Act.</w:t>
      </w:r>
    </w:p>
    <w:p>
      <w:pPr>
        <w:spacing w:after="0" w:line="185" w:lineRule="exact"/>
        <w:rPr>
          <w:rFonts w:ascii="Arial" w:cs="Arial" w:eastAsia="Arial" w:hAnsi="Arial"/>
          <w:sz w:val="20"/>
          <w:szCs w:val="20"/>
          <w:b w:val="1"/>
          <w:bCs w:val="1"/>
          <w:color w:val="auto"/>
        </w:rPr>
      </w:pPr>
    </w:p>
    <w:p>
      <w:pPr>
        <w:ind w:firstLine="656"/>
        <w:spacing w:after="0" w:line="260" w:lineRule="auto"/>
        <w:tabs>
          <w:tab w:leader="none" w:pos="1052" w:val="left"/>
        </w:tabs>
        <w:numPr>
          <w:ilvl w:val="0"/>
          <w:numId w:val="201"/>
        </w:numPr>
        <w:rPr>
          <w:rFonts w:ascii="Arial" w:cs="Arial" w:eastAsia="Arial" w:hAnsi="Arial"/>
          <w:sz w:val="20"/>
          <w:szCs w:val="20"/>
          <w:b w:val="1"/>
          <w:bCs w:val="1"/>
          <w:color w:val="auto"/>
        </w:rPr>
      </w:pPr>
      <w:r>
        <w:rPr>
          <w:rFonts w:ascii="Arial" w:cs="Arial" w:eastAsia="Arial" w:hAnsi="Arial"/>
          <w:sz w:val="20"/>
          <w:szCs w:val="20"/>
          <w:color w:val="auto"/>
        </w:rPr>
        <w:t>Any person or entity holding, owning or otherwise acquiring any interest in any security of the Company shall be deemed to have notice of and consented to the provisions of this Amended and Restated Certificate of Incorporation.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VII.</w:t>
      </w:r>
    </w:p>
    <w:p>
      <w:pPr>
        <w:spacing w:after="0" w:line="222" w:lineRule="exact"/>
        <w:rPr>
          <w:sz w:val="20"/>
          <w:szCs w:val="20"/>
          <w:color w:val="auto"/>
        </w:rPr>
      </w:pPr>
    </w:p>
    <w:p>
      <w:pPr>
        <w:jc w:val="both"/>
        <w:ind w:firstLine="656"/>
        <w:spacing w:after="0" w:line="250" w:lineRule="auto"/>
        <w:tabs>
          <w:tab w:leader="none" w:pos="1038" w:val="left"/>
        </w:tabs>
        <w:numPr>
          <w:ilvl w:val="0"/>
          <w:numId w:val="202"/>
        </w:numPr>
        <w:rPr>
          <w:rFonts w:ascii="Arial" w:cs="Arial" w:eastAsia="Arial" w:hAnsi="Arial"/>
          <w:sz w:val="20"/>
          <w:szCs w:val="20"/>
          <w:b w:val="1"/>
          <w:bCs w:val="1"/>
          <w:color w:val="auto"/>
        </w:rPr>
      </w:pPr>
      <w:r>
        <w:rPr>
          <w:rFonts w:ascii="Arial" w:cs="Arial" w:eastAsia="Arial" w:hAnsi="Arial"/>
          <w:sz w:val="20"/>
          <w:szCs w:val="20"/>
          <w:color w:val="auto"/>
        </w:rPr>
        <w:t>The Company reserves the right to amend, alter, change or repeal any provision contained in this Certificate of Incorporation, in the manner now or hereafter prescribed by statute, except as provided in paragraph B. of this Article VII, and all rights conferred upon the stockholders herein are granted subject to this reservation.</w:t>
      </w:r>
    </w:p>
    <w:p>
      <w:pPr>
        <w:spacing w:after="0" w:line="185" w:lineRule="exact"/>
        <w:rPr>
          <w:rFonts w:ascii="Arial" w:cs="Arial" w:eastAsia="Arial" w:hAnsi="Arial"/>
          <w:sz w:val="20"/>
          <w:szCs w:val="20"/>
          <w:b w:val="1"/>
          <w:bCs w:val="1"/>
          <w:color w:val="auto"/>
        </w:rPr>
      </w:pPr>
    </w:p>
    <w:p>
      <w:pPr>
        <w:jc w:val="both"/>
        <w:ind w:firstLine="656"/>
        <w:spacing w:after="0" w:line="282" w:lineRule="auto"/>
        <w:tabs>
          <w:tab w:leader="none" w:pos="1054"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Notwithstanding any other provisions of this Certificate of Incorporation or any provision of law that might otherwise permit a lesser vote or no vote, but in addition to any affirmative vote required by law or by this Certificate of Incorporation, the affirmative vote of the holders of at least 66 2/3% of the voting power of all of the then-outstanding shares of capital stock of the Company entitled to vote generally in the election of directors, voting together as a single class, shall be required to alter, amend or repeal Articles V, VI, and VII.</w:t>
      </w:r>
    </w:p>
    <w:p>
      <w:pPr>
        <w:spacing w:after="0" w:line="161" w:lineRule="exact"/>
        <w:rPr>
          <w:rFonts w:ascii="Arial" w:cs="Arial" w:eastAsia="Arial" w:hAnsi="Arial"/>
          <w:sz w:val="18"/>
          <w:szCs w:val="18"/>
          <w:b w:val="1"/>
          <w:bCs w:val="1"/>
          <w:color w:val="auto"/>
        </w:rPr>
      </w:pPr>
    </w:p>
    <w:p>
      <w:pPr>
        <w:ind w:left="5360"/>
        <w:spacing w:after="0"/>
        <w:rPr>
          <w:rFonts w:ascii="Arial" w:cs="Arial" w:eastAsia="Arial" w:hAnsi="Arial"/>
          <w:sz w:val="18"/>
          <w:szCs w:val="18"/>
          <w:b w:val="1"/>
          <w:bCs w:val="1"/>
          <w:color w:val="auto"/>
        </w:rPr>
      </w:pPr>
      <w:r>
        <w:rPr>
          <w:rFonts w:ascii="Arial" w:cs="Arial" w:eastAsia="Arial" w:hAnsi="Arial"/>
          <w:sz w:val="20"/>
          <w:szCs w:val="20"/>
          <w:color w:val="auto"/>
        </w:rPr>
        <w:t>* * * *</w:t>
      </w:r>
    </w:p>
    <w:p>
      <w:pPr>
        <w:spacing w:after="0" w:line="210"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FOUR: </w:t>
      </w:r>
      <w:r>
        <w:rPr>
          <w:rFonts w:ascii="Arial" w:cs="Arial" w:eastAsia="Arial" w:hAnsi="Arial"/>
          <w:sz w:val="20"/>
          <w:szCs w:val="20"/>
          <w:color w:val="auto"/>
        </w:rPr>
        <w:t>This Amended and Restated Certificate of Incorporation has been duly authorized in accordance with Sections 228, 242</w:t>
      </w:r>
      <w:r>
        <w:rPr>
          <w:rFonts w:ascii="Arial" w:cs="Arial" w:eastAsia="Arial" w:hAnsi="Arial"/>
          <w:sz w:val="20"/>
          <w:szCs w:val="20"/>
          <w:b w:val="1"/>
          <w:bCs w:val="1"/>
          <w:color w:val="auto"/>
        </w:rPr>
        <w:t xml:space="preserve"> </w:t>
      </w:r>
      <w:r>
        <w:rPr>
          <w:rFonts w:ascii="Arial" w:cs="Arial" w:eastAsia="Arial" w:hAnsi="Arial"/>
          <w:sz w:val="20"/>
          <w:szCs w:val="20"/>
          <w:color w:val="auto"/>
        </w:rPr>
        <w:t>and 245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9" w:right="339" w:bottom="1440" w:gutter="0" w:footer="0" w:header="0"/>
        </w:sectPr>
      </w:pPr>
    </w:p>
    <w:bookmarkStart w:id="261" w:name="page262"/>
    <w:bookmarkEnd w:id="261"/>
    <w:p>
      <w:pPr>
        <w:ind w:firstLine="648"/>
        <w:spacing w:after="0" w:line="257" w:lineRule="auto"/>
        <w:rPr>
          <w:sz w:val="20"/>
          <w:szCs w:val="20"/>
          <w:color w:val="auto"/>
        </w:rPr>
      </w:pPr>
      <w:r>
        <w:rPr>
          <w:rFonts w:ascii="Arial" w:cs="Arial" w:eastAsia="Arial" w:hAnsi="Arial"/>
          <w:sz w:val="20"/>
          <w:szCs w:val="20"/>
          <w:i w:val="1"/>
          <w:iCs w:val="1"/>
          <w:color w:val="auto"/>
        </w:rPr>
        <w:t>[Signature Page Follows]</w:t>
      </w:r>
      <w:r>
        <w:rPr>
          <w:rFonts w:ascii="Arial" w:cs="Arial" w:eastAsia="Arial" w:hAnsi="Arial"/>
          <w:sz w:val="20"/>
          <w:szCs w:val="20"/>
          <w:color w:val="auto"/>
        </w:rPr>
        <w:t>NerdWallet, Inc. has caused this Amended and Restated Certificate of Incorporation to be signed by a duly</w:t>
      </w:r>
      <w:r>
        <w:rPr>
          <w:rFonts w:ascii="Arial" w:cs="Arial" w:eastAsia="Arial" w:hAnsi="Arial"/>
          <w:sz w:val="20"/>
          <w:szCs w:val="20"/>
          <w:i w:val="1"/>
          <w:iCs w:val="1"/>
          <w:color w:val="auto"/>
        </w:rPr>
        <w:t xml:space="preserve"> </w:t>
      </w:r>
      <w:r>
        <w:rPr>
          <w:rFonts w:ascii="Arial" w:cs="Arial" w:eastAsia="Arial" w:hAnsi="Arial"/>
          <w:sz w:val="20"/>
          <w:szCs w:val="20"/>
          <w:color w:val="auto"/>
        </w:rPr>
        <w:t>authorized officer on ____________, 2021.</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20"/>
          <w:szCs w:val="20"/>
          <w:b w:val="1"/>
          <w:bCs w:val="1"/>
          <w:color w:val="auto"/>
        </w:rPr>
        <w:t>NerdWallet, Inc.</w:t>
      </w:r>
    </w:p>
    <w:p>
      <w:pPr>
        <w:spacing w:after="0" w:line="200" w:lineRule="exact"/>
        <w:rPr>
          <w:sz w:val="20"/>
          <w:szCs w:val="20"/>
          <w:color w:val="auto"/>
        </w:rPr>
      </w:pPr>
    </w:p>
    <w:p>
      <w:pPr>
        <w:spacing w:after="0" w:line="359"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10160</wp:posOffset>
            </wp:positionV>
            <wp:extent cx="29743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Tim Chen</w:t>
      </w:r>
    </w:p>
    <w:p>
      <w:pPr>
        <w:spacing w:after="0" w:line="20"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Chief Executive Officer</w:t>
      </w:r>
    </w:p>
    <w:p>
      <w:pPr>
        <w:sectPr>
          <w:pgSz w:w="11900" w:h="16838" w:orient="portrait"/>
          <w:cols w:equalWidth="0" w:num="1">
            <w:col w:w="11220"/>
          </w:cols>
          <w:pgMar w:left="320" w:top="1419" w:right="35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60325</wp:posOffset>
            </wp:positionV>
            <wp:extent cx="1320165" cy="4286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13201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John Sellers</w:t>
      </w:r>
    </w:p>
    <w:p>
      <w:pPr>
        <w:spacing w:after="0" w:line="21" w:lineRule="exact"/>
        <w:rPr>
          <w:sz w:val="20"/>
          <w:szCs w:val="20"/>
          <w:color w:val="auto"/>
        </w:rPr>
      </w:pPr>
    </w:p>
    <w:p>
      <w:pPr>
        <w:ind w:left="20" w:right="9420" w:firstLine="6"/>
        <w:spacing w:after="0" w:line="323" w:lineRule="auto"/>
        <w:tabs>
          <w:tab w:leader="none" w:pos="255" w:val="left"/>
        </w:tabs>
        <w:numPr>
          <w:ilvl w:val="0"/>
          <w:numId w:val="203"/>
        </w:numPr>
        <w:rPr>
          <w:rFonts w:ascii="Arial" w:cs="Arial" w:eastAsia="Arial" w:hAnsi="Arial"/>
          <w:sz w:val="19"/>
          <w:szCs w:val="19"/>
          <w:color w:val="auto"/>
        </w:rPr>
      </w:pPr>
      <w:r>
        <w:rPr>
          <w:rFonts w:ascii="Arial" w:cs="Arial" w:eastAsia="Arial" w:hAnsi="Arial"/>
          <w:sz w:val="19"/>
          <w:szCs w:val="19"/>
          <w:color w:val="auto"/>
        </w:rPr>
        <w:t>+1 650 843 5070 jsellers@cooley.com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NerdWallet, Inc.</w:t>
      </w:r>
    </w:p>
    <w:p>
      <w:pPr>
        <w:spacing w:after="0"/>
        <w:rPr>
          <w:sz w:val="20"/>
          <w:szCs w:val="20"/>
          <w:color w:val="auto"/>
        </w:rPr>
      </w:pPr>
      <w:r>
        <w:rPr>
          <w:rFonts w:ascii="Arial" w:cs="Arial" w:eastAsia="Arial" w:hAnsi="Arial"/>
          <w:sz w:val="18"/>
          <w:szCs w:val="18"/>
          <w:color w:val="auto"/>
        </w:rPr>
        <w:t>875 Stevenson Street, 5th Floor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acted as counsel to NerdWallet,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(No. 333-260134)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including a related prospectus included in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covering an underwritten public offering of up to 8,337,500 shares of the Company’s Class A common stock, par value $0.0001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including up to 1,087,500 Shares that may be sold by the Company pursuant to the exercise of an option to purchase additional Shares granted to the underwriters.</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this opinion, we have (i) examined and relied upon (a) the Registration Statement and the Prospectus, (b) the Company’s Amended and Restated Certificate of Incorporation, as amended, and Bylaws, each as currently in effect, (c) the forms of the Company’s Amended and Restated Certificate of Incorporation and Amended and Restated Bylaws, filed as Exhibits 3.3 and 3.5 to the Registration Statement, respectively, each of which is to be in effect upon the closing of the offering contemplated by the Registration Statement and (d) originals or copies certified to our satisfaction of such records, documents, certificates, memoranda and other instruments as in our judgment are necessary or appropriate to enable us to render the opinion expressed below and (ii) assumed that (a) the Shares will be sold at a price established by the Board of Directors of the Company or a duly authorized committee thereof and (b) the Amended and Restated Certificate of Incorporation referred to in clause (i)(c) is filed with the Secretary of State of the State of Delaware before issuance of the Shares.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by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as described in the Registration Statement and the Prospectus, will be validly issued, fully paid and non-assessable.</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consent to the reference to our firm under the caption “Legal Matters” in the Prospectus included in the Registration Statement and to the filing of this opinion as an exhibit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3175 Hanover Street Palo Alto, CA 94304-1130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(650) 843-5000 f: (650) 849-7400 cooley.com</w:t>
      </w:r>
    </w:p>
    <w:p>
      <w:pPr>
        <w:sectPr>
          <w:pgSz w:w="11900" w:h="16838" w:orient="portrait"/>
          <w:cols w:equalWidth="0" w:num="1">
            <w:col w:w="11240"/>
          </w:cols>
          <w:pgMar w:left="320" w:top="121" w:right="3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132080</wp:posOffset>
            </wp:positionV>
            <wp:extent cx="1320165" cy="4286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28625"/>
                    </a:xfrm>
                    <a:prstGeom prst="rect">
                      <a:avLst/>
                    </a:prstGeom>
                    <a:noFill/>
                  </pic:spPr>
                </pic:pic>
              </a:graphicData>
            </a:graphic>
          </wp:anchor>
        </w:drawing>
        <w:t>NerdWallet,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By:</w:t>
        <w:tab/>
        <w:t>/s/ John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24130</wp:posOffset>
            </wp:positionV>
            <wp:extent cx="25457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John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00"/>
        <w:spacing w:after="0"/>
        <w:rPr>
          <w:sz w:val="20"/>
          <w:szCs w:val="20"/>
          <w:color w:val="auto"/>
        </w:rPr>
      </w:pPr>
      <w:r>
        <w:rPr>
          <w:rFonts w:ascii="Arial" w:cs="Arial" w:eastAsia="Arial" w:hAnsi="Arial"/>
          <w:sz w:val="12"/>
          <w:szCs w:val="12"/>
          <w:color w:val="auto"/>
        </w:rPr>
        <w:t>Cooley LLP 3175 Hanover Street Palo Alto, CA 94304-1130</w:t>
      </w:r>
    </w:p>
    <w:p>
      <w:pPr>
        <w:spacing w:after="0" w:line="24" w:lineRule="exact"/>
        <w:rPr>
          <w:sz w:val="20"/>
          <w:szCs w:val="20"/>
          <w:color w:val="auto"/>
        </w:rPr>
      </w:pPr>
    </w:p>
    <w:p>
      <w:pPr>
        <w:jc w:val="center"/>
        <w:ind w:right="-1100"/>
        <w:spacing w:after="0"/>
        <w:rPr>
          <w:sz w:val="20"/>
          <w:szCs w:val="20"/>
          <w:color w:val="auto"/>
        </w:rPr>
      </w:pPr>
      <w:r>
        <w:rPr>
          <w:rFonts w:ascii="Arial" w:cs="Arial" w:eastAsia="Arial" w:hAnsi="Arial"/>
          <w:sz w:val="13"/>
          <w:szCs w:val="13"/>
          <w:color w:val="auto"/>
        </w:rPr>
        <w:t>t: (650) 843-5000 f: (650) 849-7400 cooley.com</w:t>
      </w:r>
    </w:p>
    <w:p>
      <w:pPr>
        <w:sectPr>
          <w:pgSz w:w="11900" w:h="16838" w:orient="portrait"/>
          <w:cols w:equalWidth="0" w:num="1">
            <w:col w:w="10119"/>
          </w:cols>
          <w:pgMar w:left="340" w:top="1043" w:right="1440"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740"/>
        <w:spacing w:after="0"/>
        <w:rPr>
          <w:sz w:val="20"/>
          <w:szCs w:val="20"/>
          <w:color w:val="auto"/>
        </w:rPr>
      </w:pPr>
      <w:r>
        <w:rPr>
          <w:rFonts w:ascii="Arial" w:cs="Arial" w:eastAsia="Arial" w:hAnsi="Arial"/>
          <w:sz w:val="25"/>
          <w:szCs w:val="25"/>
          <w:b w:val="1"/>
          <w:bCs w:val="1"/>
          <w:color w:val="auto"/>
        </w:rPr>
        <w:t>NerdWallet, Inc.</w:t>
      </w:r>
    </w:p>
    <w:p>
      <w:pPr>
        <w:spacing w:after="0" w:line="38" w:lineRule="exact"/>
        <w:rPr>
          <w:sz w:val="20"/>
          <w:szCs w:val="20"/>
          <w:color w:val="auto"/>
        </w:rPr>
      </w:pPr>
    </w:p>
    <w:p>
      <w:pPr>
        <w:ind w:left="4180"/>
        <w:spacing w:after="0"/>
        <w:rPr>
          <w:sz w:val="20"/>
          <w:szCs w:val="20"/>
          <w:color w:val="auto"/>
        </w:rPr>
      </w:pPr>
      <w:r>
        <w:rPr>
          <w:rFonts w:ascii="Arial" w:cs="Arial" w:eastAsia="Arial" w:hAnsi="Arial"/>
          <w:sz w:val="25"/>
          <w:szCs w:val="25"/>
          <w:b w:val="1"/>
          <w:bCs w:val="1"/>
          <w:color w:val="auto"/>
        </w:rPr>
        <w:t>2021 Equity Incentive Plan</w:t>
      </w:r>
    </w:p>
    <w:p>
      <w:pPr>
        <w:spacing w:after="0" w:line="198"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Adopted by the Board of Directors: [______] 2021</w:t>
      </w:r>
    </w:p>
    <w:p>
      <w:pPr>
        <w:spacing w:after="0" w:line="22"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Approved by the Stockholders: [______] 2021</w:t>
      </w: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320" w:type="dxa"/>
            <w:vAlign w:val="bottom"/>
          </w:tcPr>
          <w:p>
            <w:pPr>
              <w:spacing w:after="0"/>
              <w:rPr>
                <w:sz w:val="20"/>
                <w:szCs w:val="20"/>
                <w:color w:val="auto"/>
              </w:rPr>
            </w:pPr>
            <w:r>
              <w:rPr>
                <w:rFonts w:ascii="Arial" w:cs="Arial" w:eastAsia="Arial" w:hAnsi="Arial"/>
                <w:sz w:val="22"/>
                <w:szCs w:val="22"/>
                <w:color w:val="auto"/>
              </w:rPr>
              <w:t>1.</w:t>
            </w:r>
          </w:p>
        </w:tc>
        <w:tc>
          <w:tcPr>
            <w:tcW w:w="8440" w:type="dxa"/>
            <w:vAlign w:val="bottom"/>
          </w:tcPr>
          <w:p>
            <w:pPr>
              <w:ind w:left="60"/>
              <w:spacing w:after="0"/>
              <w:rPr>
                <w:sz w:val="20"/>
                <w:szCs w:val="20"/>
                <w:color w:val="auto"/>
              </w:rPr>
            </w:pPr>
            <w:r>
              <w:rPr>
                <w:rFonts w:ascii="Arial" w:cs="Arial" w:eastAsia="Arial" w:hAnsi="Arial"/>
                <w:sz w:val="22"/>
                <w:szCs w:val="22"/>
                <w:color w:val="auto"/>
              </w:rPr>
              <w:t>General.</w:t>
            </w:r>
          </w:p>
        </w:tc>
        <w:tc>
          <w:tcPr>
            <w:tcW w:w="23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0"/>
        </w:trPr>
        <w:tc>
          <w:tcPr>
            <w:tcW w:w="320" w:type="dxa"/>
            <w:vAlign w:val="bottom"/>
          </w:tcPr>
          <w:p>
            <w:pPr>
              <w:spacing w:after="0"/>
              <w:rPr>
                <w:sz w:val="20"/>
                <w:szCs w:val="20"/>
                <w:color w:val="auto"/>
              </w:rPr>
            </w:pPr>
            <w:r>
              <w:rPr>
                <w:rFonts w:ascii="Arial" w:cs="Arial" w:eastAsia="Arial" w:hAnsi="Arial"/>
                <w:sz w:val="22"/>
                <w:szCs w:val="22"/>
                <w:color w:val="auto"/>
              </w:rPr>
              <w:t>2.</w:t>
            </w:r>
          </w:p>
        </w:tc>
        <w:tc>
          <w:tcPr>
            <w:tcW w:w="8440" w:type="dxa"/>
            <w:vAlign w:val="bottom"/>
          </w:tcPr>
          <w:p>
            <w:pPr>
              <w:ind w:left="60"/>
              <w:spacing w:after="0"/>
              <w:rPr>
                <w:sz w:val="20"/>
                <w:szCs w:val="20"/>
                <w:color w:val="auto"/>
              </w:rPr>
            </w:pPr>
            <w:r>
              <w:rPr>
                <w:rFonts w:ascii="Arial" w:cs="Arial" w:eastAsia="Arial" w:hAnsi="Arial"/>
                <w:sz w:val="22"/>
                <w:szCs w:val="22"/>
                <w:color w:val="auto"/>
              </w:rPr>
              <w:t>Shares Subject to the Plan.</w:t>
            </w:r>
          </w:p>
        </w:tc>
        <w:tc>
          <w:tcPr>
            <w:tcW w:w="23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11"/>
        </w:trPr>
        <w:tc>
          <w:tcPr>
            <w:tcW w:w="320" w:type="dxa"/>
            <w:vAlign w:val="bottom"/>
          </w:tcPr>
          <w:p>
            <w:pPr>
              <w:spacing w:after="0"/>
              <w:rPr>
                <w:sz w:val="20"/>
                <w:szCs w:val="20"/>
                <w:color w:val="auto"/>
              </w:rPr>
            </w:pPr>
            <w:r>
              <w:rPr>
                <w:rFonts w:ascii="Arial" w:cs="Arial" w:eastAsia="Arial" w:hAnsi="Arial"/>
                <w:sz w:val="22"/>
                <w:szCs w:val="22"/>
                <w:color w:val="auto"/>
              </w:rPr>
              <w:t>3.</w:t>
            </w:r>
          </w:p>
        </w:tc>
        <w:tc>
          <w:tcPr>
            <w:tcW w:w="8440" w:type="dxa"/>
            <w:vAlign w:val="bottom"/>
          </w:tcPr>
          <w:p>
            <w:pPr>
              <w:ind w:left="60"/>
              <w:spacing w:after="0"/>
              <w:rPr>
                <w:sz w:val="20"/>
                <w:szCs w:val="20"/>
                <w:color w:val="auto"/>
              </w:rPr>
            </w:pPr>
            <w:r>
              <w:rPr>
                <w:rFonts w:ascii="Arial" w:cs="Arial" w:eastAsia="Arial" w:hAnsi="Arial"/>
                <w:sz w:val="22"/>
                <w:szCs w:val="22"/>
                <w:color w:val="auto"/>
              </w:rPr>
              <w:t>Eligibility and Limitations.</w:t>
            </w:r>
          </w:p>
        </w:tc>
        <w:tc>
          <w:tcPr>
            <w:tcW w:w="2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1"/>
        </w:trPr>
        <w:tc>
          <w:tcPr>
            <w:tcW w:w="320" w:type="dxa"/>
            <w:vAlign w:val="bottom"/>
          </w:tcPr>
          <w:p>
            <w:pPr>
              <w:spacing w:after="0"/>
              <w:rPr>
                <w:sz w:val="20"/>
                <w:szCs w:val="20"/>
                <w:color w:val="auto"/>
              </w:rPr>
            </w:pPr>
            <w:r>
              <w:rPr>
                <w:rFonts w:ascii="Arial" w:cs="Arial" w:eastAsia="Arial" w:hAnsi="Arial"/>
                <w:sz w:val="22"/>
                <w:szCs w:val="22"/>
                <w:color w:val="auto"/>
              </w:rPr>
              <w:t>4.</w:t>
            </w:r>
          </w:p>
        </w:tc>
        <w:tc>
          <w:tcPr>
            <w:tcW w:w="8440" w:type="dxa"/>
            <w:vAlign w:val="bottom"/>
          </w:tcPr>
          <w:p>
            <w:pPr>
              <w:ind w:left="60"/>
              <w:spacing w:after="0"/>
              <w:rPr>
                <w:sz w:val="20"/>
                <w:szCs w:val="20"/>
                <w:color w:val="auto"/>
              </w:rPr>
            </w:pPr>
            <w:r>
              <w:rPr>
                <w:rFonts w:ascii="Arial" w:cs="Arial" w:eastAsia="Arial" w:hAnsi="Arial"/>
                <w:sz w:val="22"/>
                <w:szCs w:val="22"/>
                <w:color w:val="auto"/>
              </w:rPr>
              <w:t>Options and Stock Appreciation Rights.</w:t>
            </w:r>
          </w:p>
        </w:tc>
        <w:tc>
          <w:tcPr>
            <w:tcW w:w="2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320" w:type="dxa"/>
            <w:vAlign w:val="bottom"/>
          </w:tcPr>
          <w:p>
            <w:pPr>
              <w:spacing w:after="0"/>
              <w:rPr>
                <w:sz w:val="20"/>
                <w:szCs w:val="20"/>
                <w:color w:val="auto"/>
              </w:rPr>
            </w:pPr>
            <w:r>
              <w:rPr>
                <w:rFonts w:ascii="Arial" w:cs="Arial" w:eastAsia="Arial" w:hAnsi="Arial"/>
                <w:sz w:val="22"/>
                <w:szCs w:val="22"/>
                <w:color w:val="auto"/>
              </w:rPr>
              <w:t>5.</w:t>
            </w:r>
          </w:p>
        </w:tc>
        <w:tc>
          <w:tcPr>
            <w:tcW w:w="8440" w:type="dxa"/>
            <w:vAlign w:val="bottom"/>
          </w:tcPr>
          <w:p>
            <w:pPr>
              <w:ind w:left="40"/>
              <w:spacing w:after="0"/>
              <w:rPr>
                <w:sz w:val="20"/>
                <w:szCs w:val="20"/>
                <w:color w:val="auto"/>
              </w:rPr>
            </w:pPr>
            <w:r>
              <w:rPr>
                <w:rFonts w:ascii="Arial" w:cs="Arial" w:eastAsia="Arial" w:hAnsi="Arial"/>
                <w:sz w:val="22"/>
                <w:szCs w:val="22"/>
                <w:color w:val="auto"/>
              </w:rPr>
              <w:t>Awards Other Than Options and Stock Appreciation Rights.</w:t>
            </w:r>
          </w:p>
        </w:tc>
        <w:tc>
          <w:tcPr>
            <w:tcW w:w="23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1"/>
        </w:trPr>
        <w:tc>
          <w:tcPr>
            <w:tcW w:w="320" w:type="dxa"/>
            <w:vAlign w:val="bottom"/>
          </w:tcPr>
          <w:p>
            <w:pPr>
              <w:spacing w:after="0"/>
              <w:rPr>
                <w:sz w:val="20"/>
                <w:szCs w:val="20"/>
                <w:color w:val="auto"/>
              </w:rPr>
            </w:pPr>
            <w:r>
              <w:rPr>
                <w:rFonts w:ascii="Arial" w:cs="Arial" w:eastAsia="Arial" w:hAnsi="Arial"/>
                <w:sz w:val="22"/>
                <w:szCs w:val="22"/>
                <w:color w:val="auto"/>
              </w:rPr>
              <w:t>6.</w:t>
            </w:r>
          </w:p>
        </w:tc>
        <w:tc>
          <w:tcPr>
            <w:tcW w:w="8440" w:type="dxa"/>
            <w:vAlign w:val="bottom"/>
          </w:tcPr>
          <w:p>
            <w:pPr>
              <w:ind w:left="40"/>
              <w:spacing w:after="0"/>
              <w:rPr>
                <w:sz w:val="20"/>
                <w:szCs w:val="20"/>
                <w:color w:val="auto"/>
              </w:rPr>
            </w:pPr>
            <w:r>
              <w:rPr>
                <w:rFonts w:ascii="Arial" w:cs="Arial" w:eastAsia="Arial" w:hAnsi="Arial"/>
                <w:sz w:val="22"/>
                <w:szCs w:val="22"/>
                <w:color w:val="auto"/>
              </w:rPr>
              <w:t>Adjustments upon Changes in Common Stock; Other Corporate Events.</w:t>
            </w:r>
          </w:p>
        </w:tc>
        <w:tc>
          <w:tcPr>
            <w:tcW w:w="23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320" w:type="dxa"/>
            <w:vAlign w:val="bottom"/>
          </w:tcPr>
          <w:p>
            <w:pPr>
              <w:spacing w:after="0"/>
              <w:rPr>
                <w:sz w:val="20"/>
                <w:szCs w:val="20"/>
                <w:color w:val="auto"/>
              </w:rPr>
            </w:pPr>
            <w:r>
              <w:rPr>
                <w:rFonts w:ascii="Arial" w:cs="Arial" w:eastAsia="Arial" w:hAnsi="Arial"/>
                <w:sz w:val="22"/>
                <w:szCs w:val="22"/>
                <w:color w:val="auto"/>
              </w:rPr>
              <w:t>7.</w:t>
            </w:r>
          </w:p>
        </w:tc>
        <w:tc>
          <w:tcPr>
            <w:tcW w:w="8440" w:type="dxa"/>
            <w:vAlign w:val="bottom"/>
          </w:tcPr>
          <w:p>
            <w:pPr>
              <w:ind w:left="40"/>
              <w:spacing w:after="0"/>
              <w:rPr>
                <w:sz w:val="20"/>
                <w:szCs w:val="20"/>
                <w:color w:val="auto"/>
              </w:rPr>
            </w:pPr>
            <w:r>
              <w:rPr>
                <w:rFonts w:ascii="Arial" w:cs="Arial" w:eastAsia="Arial" w:hAnsi="Arial"/>
                <w:sz w:val="22"/>
                <w:szCs w:val="22"/>
                <w:color w:val="auto"/>
              </w:rPr>
              <w:t>Administration.</w:t>
            </w:r>
          </w:p>
        </w:tc>
        <w:tc>
          <w:tcPr>
            <w:tcW w:w="238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11"/>
        </w:trPr>
        <w:tc>
          <w:tcPr>
            <w:tcW w:w="320" w:type="dxa"/>
            <w:vAlign w:val="bottom"/>
          </w:tcPr>
          <w:p>
            <w:pPr>
              <w:spacing w:after="0"/>
              <w:rPr>
                <w:sz w:val="20"/>
                <w:szCs w:val="20"/>
                <w:color w:val="auto"/>
              </w:rPr>
            </w:pPr>
            <w:r>
              <w:rPr>
                <w:rFonts w:ascii="Arial" w:cs="Arial" w:eastAsia="Arial" w:hAnsi="Arial"/>
                <w:sz w:val="22"/>
                <w:szCs w:val="22"/>
                <w:color w:val="auto"/>
              </w:rPr>
              <w:t>8.</w:t>
            </w:r>
          </w:p>
        </w:tc>
        <w:tc>
          <w:tcPr>
            <w:tcW w:w="8440" w:type="dxa"/>
            <w:vAlign w:val="bottom"/>
          </w:tcPr>
          <w:p>
            <w:pPr>
              <w:ind w:left="40"/>
              <w:spacing w:after="0"/>
              <w:rPr>
                <w:sz w:val="20"/>
                <w:szCs w:val="20"/>
                <w:color w:val="auto"/>
              </w:rPr>
            </w:pPr>
            <w:r>
              <w:rPr>
                <w:rFonts w:ascii="Arial" w:cs="Arial" w:eastAsia="Arial" w:hAnsi="Arial"/>
                <w:sz w:val="22"/>
                <w:szCs w:val="22"/>
                <w:color w:val="auto"/>
              </w:rPr>
              <w:t>Tax Withholding</w:t>
            </w:r>
          </w:p>
        </w:tc>
        <w:tc>
          <w:tcPr>
            <w:tcW w:w="238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10"/>
        </w:trPr>
        <w:tc>
          <w:tcPr>
            <w:tcW w:w="320" w:type="dxa"/>
            <w:vAlign w:val="bottom"/>
          </w:tcPr>
          <w:p>
            <w:pPr>
              <w:spacing w:after="0"/>
              <w:rPr>
                <w:sz w:val="20"/>
                <w:szCs w:val="20"/>
                <w:color w:val="auto"/>
              </w:rPr>
            </w:pPr>
            <w:r>
              <w:rPr>
                <w:rFonts w:ascii="Arial" w:cs="Arial" w:eastAsia="Arial" w:hAnsi="Arial"/>
                <w:sz w:val="22"/>
                <w:szCs w:val="22"/>
                <w:color w:val="auto"/>
              </w:rPr>
              <w:t>9.</w:t>
            </w:r>
          </w:p>
        </w:tc>
        <w:tc>
          <w:tcPr>
            <w:tcW w:w="8440" w:type="dxa"/>
            <w:vAlign w:val="bottom"/>
          </w:tcPr>
          <w:p>
            <w:pPr>
              <w:ind w:left="60"/>
              <w:spacing w:after="0"/>
              <w:rPr>
                <w:sz w:val="20"/>
                <w:szCs w:val="20"/>
                <w:color w:val="auto"/>
              </w:rPr>
            </w:pPr>
            <w:r>
              <w:rPr>
                <w:rFonts w:ascii="Arial" w:cs="Arial" w:eastAsia="Arial" w:hAnsi="Arial"/>
                <w:sz w:val="22"/>
                <w:szCs w:val="22"/>
                <w:color w:val="auto"/>
              </w:rPr>
              <w:t>Miscellaneous.</w:t>
            </w:r>
          </w:p>
        </w:tc>
        <w:tc>
          <w:tcPr>
            <w:tcW w:w="23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1"/>
        </w:trPr>
        <w:tc>
          <w:tcPr>
            <w:tcW w:w="8760" w:type="dxa"/>
            <w:vAlign w:val="bottom"/>
            <w:gridSpan w:val="2"/>
          </w:tcPr>
          <w:p>
            <w:pPr>
              <w:spacing w:after="0"/>
              <w:rPr>
                <w:sz w:val="20"/>
                <w:szCs w:val="20"/>
                <w:color w:val="auto"/>
              </w:rPr>
            </w:pPr>
            <w:r>
              <w:rPr>
                <w:rFonts w:ascii="Arial" w:cs="Arial" w:eastAsia="Arial" w:hAnsi="Arial"/>
                <w:sz w:val="22"/>
                <w:szCs w:val="22"/>
                <w:color w:val="auto"/>
              </w:rPr>
              <w:t>10.  Covenants of the Company.</w:t>
            </w:r>
          </w:p>
        </w:tc>
        <w:tc>
          <w:tcPr>
            <w:tcW w:w="23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8760" w:type="dxa"/>
            <w:vAlign w:val="bottom"/>
            <w:gridSpan w:val="2"/>
          </w:tcPr>
          <w:p>
            <w:pPr>
              <w:spacing w:after="0"/>
              <w:rPr>
                <w:sz w:val="20"/>
                <w:szCs w:val="20"/>
                <w:color w:val="auto"/>
              </w:rPr>
            </w:pPr>
            <w:r>
              <w:rPr>
                <w:rFonts w:ascii="Arial" w:cs="Arial" w:eastAsia="Arial" w:hAnsi="Arial"/>
                <w:sz w:val="22"/>
                <w:szCs w:val="22"/>
                <w:color w:val="auto"/>
              </w:rPr>
              <w:t>11.  Additional Rules for Awards Subject to Section 409A.</w:t>
            </w:r>
          </w:p>
        </w:tc>
        <w:tc>
          <w:tcPr>
            <w:tcW w:w="23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320" w:type="dxa"/>
            <w:vAlign w:val="bottom"/>
          </w:tcPr>
          <w:p>
            <w:pPr>
              <w:spacing w:after="0"/>
              <w:rPr>
                <w:sz w:val="20"/>
                <w:szCs w:val="20"/>
                <w:color w:val="auto"/>
              </w:rPr>
            </w:pPr>
            <w:r>
              <w:rPr>
                <w:rFonts w:ascii="Arial" w:cs="Arial" w:eastAsia="Arial" w:hAnsi="Arial"/>
                <w:sz w:val="22"/>
                <w:szCs w:val="22"/>
                <w:color w:val="auto"/>
                <w:w w:val="97"/>
              </w:rPr>
              <w:t>12.</w:t>
            </w:r>
          </w:p>
        </w:tc>
        <w:tc>
          <w:tcPr>
            <w:tcW w:w="8440" w:type="dxa"/>
            <w:vAlign w:val="bottom"/>
          </w:tcPr>
          <w:p>
            <w:pPr>
              <w:ind w:left="160"/>
              <w:spacing w:after="0"/>
              <w:rPr>
                <w:sz w:val="20"/>
                <w:szCs w:val="20"/>
                <w:color w:val="auto"/>
              </w:rPr>
            </w:pPr>
            <w:r>
              <w:rPr>
                <w:rFonts w:ascii="Arial" w:cs="Arial" w:eastAsia="Arial" w:hAnsi="Arial"/>
                <w:sz w:val="22"/>
                <w:szCs w:val="22"/>
                <w:color w:val="auto"/>
              </w:rPr>
              <w:t>Severability.</w:t>
            </w:r>
          </w:p>
        </w:tc>
        <w:tc>
          <w:tcPr>
            <w:tcW w:w="23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8760" w:type="dxa"/>
            <w:vAlign w:val="bottom"/>
            <w:gridSpan w:val="2"/>
          </w:tcPr>
          <w:p>
            <w:pPr>
              <w:spacing w:after="0"/>
              <w:rPr>
                <w:sz w:val="20"/>
                <w:szCs w:val="20"/>
                <w:color w:val="auto"/>
              </w:rPr>
            </w:pPr>
            <w:r>
              <w:rPr>
                <w:rFonts w:ascii="Arial" w:cs="Arial" w:eastAsia="Arial" w:hAnsi="Arial"/>
                <w:sz w:val="22"/>
                <w:szCs w:val="22"/>
                <w:color w:val="auto"/>
              </w:rPr>
              <w:t>13.  Termination of the Plan.</w:t>
            </w:r>
          </w:p>
        </w:tc>
        <w:tc>
          <w:tcPr>
            <w:tcW w:w="23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320" w:type="dxa"/>
            <w:vAlign w:val="bottom"/>
          </w:tcPr>
          <w:p>
            <w:pPr>
              <w:spacing w:after="0"/>
              <w:rPr>
                <w:sz w:val="20"/>
                <w:szCs w:val="20"/>
                <w:color w:val="auto"/>
              </w:rPr>
            </w:pPr>
            <w:r>
              <w:rPr>
                <w:rFonts w:ascii="Arial" w:cs="Arial" w:eastAsia="Arial" w:hAnsi="Arial"/>
                <w:sz w:val="22"/>
                <w:szCs w:val="22"/>
                <w:color w:val="auto"/>
                <w:w w:val="97"/>
              </w:rPr>
              <w:t>14.</w:t>
            </w:r>
          </w:p>
        </w:tc>
        <w:tc>
          <w:tcPr>
            <w:tcW w:w="8440" w:type="dxa"/>
            <w:vAlign w:val="bottom"/>
          </w:tcPr>
          <w:p>
            <w:pPr>
              <w:ind w:left="160"/>
              <w:spacing w:after="0"/>
              <w:rPr>
                <w:sz w:val="20"/>
                <w:szCs w:val="20"/>
                <w:color w:val="auto"/>
              </w:rPr>
            </w:pPr>
            <w:r>
              <w:rPr>
                <w:rFonts w:ascii="Arial" w:cs="Arial" w:eastAsia="Arial" w:hAnsi="Arial"/>
                <w:sz w:val="22"/>
                <w:szCs w:val="22"/>
                <w:color w:val="auto"/>
              </w:rPr>
              <w:t>Definitions.</w:t>
            </w:r>
          </w:p>
        </w:tc>
        <w:tc>
          <w:tcPr>
            <w:tcW w:w="2380" w:type="dxa"/>
            <w:vAlign w:val="bottom"/>
          </w:tcPr>
          <w:p>
            <w:pPr>
              <w:jc w:val="right"/>
              <w:spacing w:after="0"/>
              <w:rPr>
                <w:sz w:val="20"/>
                <w:szCs w:val="20"/>
                <w:color w:val="auto"/>
              </w:rPr>
            </w:pPr>
            <w:r>
              <w:rPr>
                <w:rFonts w:ascii="Arial" w:cs="Arial" w:eastAsia="Arial" w:hAnsi="Arial"/>
                <w:sz w:val="22"/>
                <w:szCs w:val="22"/>
                <w:color w:val="auto"/>
              </w:rPr>
              <w:t>24</w:t>
            </w:r>
          </w:p>
        </w:tc>
      </w:tr>
    </w:tbl>
    <w:p>
      <w:pPr>
        <w:spacing w:after="0" w:line="206" w:lineRule="exact"/>
        <w:rPr>
          <w:sz w:val="20"/>
          <w:szCs w:val="20"/>
          <w:color w:val="auto"/>
        </w:rPr>
      </w:pPr>
    </w:p>
    <w:p>
      <w:pPr>
        <w:ind w:left="660" w:hanging="652"/>
        <w:spacing w:after="0"/>
        <w:tabs>
          <w:tab w:leader="none" w:pos="660" w:val="left"/>
        </w:tabs>
        <w:numPr>
          <w:ilvl w:val="0"/>
          <w:numId w:val="204"/>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19" w:lineRule="exact"/>
        <w:rPr>
          <w:rFonts w:ascii="Arial" w:cs="Arial" w:eastAsia="Arial" w:hAnsi="Arial"/>
          <w:sz w:val="22"/>
          <w:szCs w:val="22"/>
          <w:b w:val="1"/>
          <w:bCs w:val="1"/>
          <w:color w:val="auto"/>
        </w:rPr>
      </w:pPr>
    </w:p>
    <w:p>
      <w:pPr>
        <w:jc w:val="both"/>
        <w:ind w:firstLine="656"/>
        <w:spacing w:after="0" w:line="248" w:lineRule="auto"/>
        <w:tabs>
          <w:tab w:leader="none" w:pos="1291" w:val="left"/>
        </w:tabs>
        <w:numPr>
          <w:ilvl w:val="1"/>
          <w:numId w:val="20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 to and Continuation of Prior Plan. </w:t>
      </w:r>
      <w:r>
        <w:rPr>
          <w:rFonts w:ascii="Arial" w:cs="Arial" w:eastAsia="Arial" w:hAnsi="Arial"/>
          <w:sz w:val="22"/>
          <w:szCs w:val="22"/>
          <w:color w:val="auto"/>
        </w:rPr>
        <w:t>The Plan is the successor to and continuation of the Prior Plan.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Effective Date, (i) no 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86" w:lineRule="exact"/>
        <w:rPr>
          <w:rFonts w:ascii="Arial" w:cs="Arial" w:eastAsia="Arial" w:hAnsi="Arial"/>
          <w:sz w:val="22"/>
          <w:szCs w:val="22"/>
          <w:b w:val="1"/>
          <w:bCs w:val="1"/>
          <w:color w:val="auto"/>
        </w:rPr>
      </w:pPr>
    </w:p>
    <w:p>
      <w:pPr>
        <w:jc w:val="both"/>
        <w:ind w:firstLine="656"/>
        <w:spacing w:after="0" w:line="252" w:lineRule="auto"/>
        <w:tabs>
          <w:tab w:leader="none" w:pos="1290" w:val="left"/>
        </w:tabs>
        <w:numPr>
          <w:ilvl w:val="1"/>
          <w:numId w:val="20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Plan Purpose. </w:t>
      </w:r>
      <w:r>
        <w:rPr>
          <w:rFonts w:ascii="Arial" w:cs="Arial" w:eastAsia="Arial" w:hAnsi="Arial"/>
          <w:sz w:val="22"/>
          <w:szCs w:val="22"/>
          <w:color w:val="auto"/>
        </w:rPr>
        <w:t>The Company, by means of the Plan, seeks to secure and retain the services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9" w:lineRule="exact"/>
        <w:rPr>
          <w:rFonts w:ascii="Arial" w:cs="Arial" w:eastAsia="Arial" w:hAnsi="Arial"/>
          <w:sz w:val="22"/>
          <w:szCs w:val="22"/>
          <w:b w:val="1"/>
          <w:bCs w:val="1"/>
          <w:color w:val="auto"/>
        </w:rPr>
      </w:pPr>
    </w:p>
    <w:p>
      <w:pPr>
        <w:jc w:val="both"/>
        <w:ind w:firstLine="656"/>
        <w:spacing w:after="0" w:line="256" w:lineRule="auto"/>
        <w:tabs>
          <w:tab w:leader="none" w:pos="1293" w:val="left"/>
        </w:tabs>
        <w:numPr>
          <w:ilvl w:val="1"/>
          <w:numId w:val="20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Available Awards. </w:t>
      </w:r>
      <w:r>
        <w:rPr>
          <w:rFonts w:ascii="Arial" w:cs="Arial" w:eastAsia="Arial" w:hAnsi="Arial"/>
          <w:sz w:val="22"/>
          <w:szCs w:val="22"/>
          <w:color w:val="auto"/>
        </w:rPr>
        <w:t>The Plan provides for the grant of the following Awards: (i) Incentive Stock Options; (ii)</w:t>
      </w:r>
      <w:r>
        <w:rPr>
          <w:rFonts w:ascii="Arial" w:cs="Arial" w:eastAsia="Arial" w:hAnsi="Arial"/>
          <w:sz w:val="22"/>
          <w:szCs w:val="22"/>
          <w:b w:val="1"/>
          <w:bCs w:val="1"/>
          <w:color w:val="auto"/>
        </w:rPr>
        <w:t xml:space="preserve"> </w:t>
      </w:r>
      <w:r>
        <w:rPr>
          <w:rFonts w:ascii="Arial" w:cs="Arial" w:eastAsia="Arial" w:hAnsi="Arial"/>
          <w:sz w:val="22"/>
          <w:szCs w:val="22"/>
          <w:color w:val="auto"/>
        </w:rPr>
        <w:t>Nonstatutory Stock Options; (iii) SARs; (iv) Restricted Stock Awards; (v) RSU Awards; (vi) Performance Awards; and (vii) Other Awards.</w:t>
      </w:r>
    </w:p>
    <w:p>
      <w:pPr>
        <w:spacing w:after="0" w:line="176" w:lineRule="exact"/>
        <w:rPr>
          <w:rFonts w:ascii="Arial" w:cs="Arial" w:eastAsia="Arial" w:hAnsi="Arial"/>
          <w:sz w:val="22"/>
          <w:szCs w:val="22"/>
          <w:b w:val="1"/>
          <w:bCs w:val="1"/>
          <w:color w:val="auto"/>
        </w:rPr>
      </w:pPr>
    </w:p>
    <w:p>
      <w:pPr>
        <w:ind w:firstLine="656"/>
        <w:spacing w:after="0" w:line="269" w:lineRule="auto"/>
        <w:tabs>
          <w:tab w:leader="none" w:pos="1290" w:val="left"/>
        </w:tabs>
        <w:numPr>
          <w:ilvl w:val="1"/>
          <w:numId w:val="20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Adoption Date; Effective Date. </w:t>
      </w:r>
      <w:r>
        <w:rPr>
          <w:rFonts w:ascii="Arial" w:cs="Arial" w:eastAsia="Arial" w:hAnsi="Arial"/>
          <w:sz w:val="22"/>
          <w:szCs w:val="22"/>
          <w:color w:val="auto"/>
        </w:rPr>
        <w:t>The Plan will come into existence on the Adoption Date, but no Award may be</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prior to the Effective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1" w:right="339" w:bottom="1440" w:gutter="0" w:footer="0" w:header="0"/>
          <w:type w:val="continuous"/>
        </w:sectPr>
      </w:pPr>
    </w:p>
    <w:bookmarkStart w:id="265" w:name="page266"/>
    <w:bookmarkEnd w:id="265"/>
    <w:p>
      <w:pPr>
        <w:ind w:left="660" w:hanging="652"/>
        <w:spacing w:after="0"/>
        <w:tabs>
          <w:tab w:leader="none" w:pos="660" w:val="left"/>
        </w:tabs>
        <w:numPr>
          <w:ilvl w:val="0"/>
          <w:numId w:val="205"/>
        </w:numPr>
        <w:rPr>
          <w:rFonts w:ascii="Arial" w:cs="Arial" w:eastAsia="Arial" w:hAnsi="Arial"/>
          <w:sz w:val="22"/>
          <w:szCs w:val="22"/>
          <w:b w:val="1"/>
          <w:bCs w:val="1"/>
          <w:color w:val="auto"/>
        </w:rPr>
      </w:pPr>
      <w:r>
        <w:rPr>
          <w:rFonts w:ascii="Arial" w:cs="Arial" w:eastAsia="Arial" w:hAnsi="Arial"/>
          <w:sz w:val="22"/>
          <w:szCs w:val="22"/>
          <w:b w:val="1"/>
          <w:bCs w:val="1"/>
          <w:color w:val="auto"/>
        </w:rPr>
        <w:t>Shares Subject to the Plan.</w:t>
      </w:r>
    </w:p>
    <w:p>
      <w:pPr>
        <w:spacing w:after="0" w:line="219" w:lineRule="exact"/>
        <w:rPr>
          <w:rFonts w:ascii="Arial" w:cs="Arial" w:eastAsia="Arial" w:hAnsi="Arial"/>
          <w:sz w:val="22"/>
          <w:szCs w:val="22"/>
          <w:b w:val="1"/>
          <w:bCs w:val="1"/>
          <w:color w:val="auto"/>
        </w:rPr>
      </w:pPr>
    </w:p>
    <w:p>
      <w:pPr>
        <w:jc w:val="both"/>
        <w:ind w:firstLine="656"/>
        <w:spacing w:after="0" w:line="290" w:lineRule="auto"/>
        <w:tabs>
          <w:tab w:leader="none" w:pos="1291" w:val="left"/>
        </w:tabs>
        <w:numPr>
          <w:ilvl w:val="1"/>
          <w:numId w:val="2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Share Reserve. </w:t>
      </w:r>
      <w:r>
        <w:rPr>
          <w:rFonts w:ascii="Arial" w:cs="Arial" w:eastAsia="Arial" w:hAnsi="Arial"/>
          <w:sz w:val="19"/>
          <w:szCs w:val="19"/>
          <w:color w:val="auto"/>
        </w:rPr>
        <w:t>Subject to adjustment in accordance with Section 2(c) and any adjustments as necessary to</w:t>
      </w:r>
      <w:r>
        <w:rPr>
          <w:rFonts w:ascii="Arial" w:cs="Arial" w:eastAsia="Arial" w:hAnsi="Arial"/>
          <w:sz w:val="19"/>
          <w:szCs w:val="19"/>
          <w:b w:val="1"/>
          <w:bCs w:val="1"/>
          <w:color w:val="auto"/>
        </w:rPr>
        <w:t xml:space="preserve"> </w:t>
      </w:r>
      <w:r>
        <w:rPr>
          <w:rFonts w:ascii="Arial" w:cs="Arial" w:eastAsia="Arial" w:hAnsi="Arial"/>
          <w:sz w:val="19"/>
          <w:szCs w:val="19"/>
          <w:color w:val="auto"/>
        </w:rPr>
        <w:t>implement any Capitalization Adjustments, the aggregate number of shares of Common Stock that may be issued pursuant to Awards will not exceed 14,521,824 shares, which is the sum of: (i) 4,062,125 new shares, plus (ii) the number of Returning Shares, if any, as such shares become available from time to time. In addition, subject to any adjustments as necessary to implement any Capitalization Adjustments, such aggregate number of shares of Common Stock will automatically increase on January 1st of each year for a period of nine years commencing on January 1, 2023 and ending on (and including) January 1, 2031, in an amount equal to five percent (5%) of the total number of shares of Capital Stock outstanding on the last day of the preceding calendar year; provided, however that the Board may act prior to the effective date of any such annual increase to provide that the increase for such year will be a lesser number of shares of Common Stock.</w:t>
      </w:r>
    </w:p>
    <w:p>
      <w:pPr>
        <w:spacing w:after="0" w:line="148" w:lineRule="exact"/>
        <w:rPr>
          <w:rFonts w:ascii="Arial" w:cs="Arial" w:eastAsia="Arial" w:hAnsi="Arial"/>
          <w:sz w:val="19"/>
          <w:szCs w:val="19"/>
          <w:b w:val="1"/>
          <w:bCs w:val="1"/>
          <w:color w:val="auto"/>
        </w:rPr>
      </w:pPr>
    </w:p>
    <w:p>
      <w:pPr>
        <w:jc w:val="both"/>
        <w:ind w:firstLine="656"/>
        <w:spacing w:after="0" w:line="315" w:lineRule="auto"/>
        <w:tabs>
          <w:tab w:leader="none" w:pos="1290" w:val="left"/>
        </w:tabs>
        <w:numPr>
          <w:ilvl w:val="1"/>
          <w:numId w:val="2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Aggregate Incentive Stock Option Limit. </w:t>
      </w:r>
      <w:r>
        <w:rPr>
          <w:rFonts w:ascii="Arial" w:cs="Arial" w:eastAsia="Arial" w:hAnsi="Arial"/>
          <w:sz w:val="19"/>
          <w:szCs w:val="19"/>
          <w:color w:val="auto"/>
        </w:rPr>
        <w:t>Notwithstanding anything to the contrary in Section 2(a) and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any adjustments as necessary to implement any Capitalization Adjustments, the aggregate maximum number of shares of Common Stock that may be issued pursuant to the exercise of Incentive Stock Options is 45,000,000 shares.</w:t>
      </w:r>
    </w:p>
    <w:p>
      <w:pPr>
        <w:spacing w:after="0" w:line="125" w:lineRule="exact"/>
        <w:rPr>
          <w:rFonts w:ascii="Arial" w:cs="Arial" w:eastAsia="Arial" w:hAnsi="Arial"/>
          <w:sz w:val="19"/>
          <w:szCs w:val="19"/>
          <w:b w:val="1"/>
          <w:bCs w:val="1"/>
          <w:color w:val="auto"/>
        </w:rPr>
      </w:pPr>
    </w:p>
    <w:p>
      <w:pPr>
        <w:ind w:left="1300" w:hanging="644"/>
        <w:spacing w:after="0"/>
        <w:tabs>
          <w:tab w:leader="none" w:pos="1300" w:val="left"/>
        </w:tabs>
        <w:numPr>
          <w:ilvl w:val="1"/>
          <w:numId w:val="205"/>
        </w:numPr>
        <w:rPr>
          <w:rFonts w:ascii="Arial" w:cs="Arial" w:eastAsia="Arial" w:hAnsi="Arial"/>
          <w:sz w:val="22"/>
          <w:szCs w:val="22"/>
          <w:b w:val="1"/>
          <w:bCs w:val="1"/>
          <w:color w:val="auto"/>
        </w:rPr>
      </w:pPr>
      <w:r>
        <w:rPr>
          <w:rFonts w:ascii="Arial" w:cs="Arial" w:eastAsia="Arial" w:hAnsi="Arial"/>
          <w:sz w:val="22"/>
          <w:szCs w:val="22"/>
          <w:b w:val="1"/>
          <w:bCs w:val="1"/>
          <w:color w:val="auto"/>
        </w:rPr>
        <w:t>Share Reserve Operation.</w:t>
      </w:r>
    </w:p>
    <w:p>
      <w:pPr>
        <w:spacing w:after="0" w:line="219" w:lineRule="exact"/>
        <w:rPr>
          <w:rFonts w:ascii="Arial" w:cs="Arial" w:eastAsia="Arial" w:hAnsi="Arial"/>
          <w:sz w:val="22"/>
          <w:szCs w:val="22"/>
          <w:b w:val="1"/>
          <w:bCs w:val="1"/>
          <w:color w:val="auto"/>
        </w:rPr>
      </w:pPr>
    </w:p>
    <w:p>
      <w:pPr>
        <w:jc w:val="both"/>
        <w:ind w:left="80" w:firstLine="1305"/>
        <w:spacing w:after="0" w:line="247" w:lineRule="auto"/>
        <w:tabs>
          <w:tab w:leader="none" w:pos="1931" w:val="left"/>
        </w:tabs>
        <w:numPr>
          <w:ilvl w:val="2"/>
          <w:numId w:val="2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 Applies to Common Stock Issued Pursuant to Awards. </w:t>
      </w:r>
      <w:r>
        <w:rPr>
          <w:rFonts w:ascii="Arial" w:cs="Arial" w:eastAsia="Arial" w:hAnsi="Arial"/>
          <w:sz w:val="22"/>
          <w:szCs w:val="22"/>
          <w:color w:val="auto"/>
        </w:rPr>
        <w:t>For clarity, the Share Reserve is a limit on</w:t>
      </w:r>
      <w:r>
        <w:rPr>
          <w:rFonts w:ascii="Arial" w:cs="Arial" w:eastAsia="Arial" w:hAnsi="Arial"/>
          <w:sz w:val="22"/>
          <w:szCs w:val="22"/>
          <w:b w:val="1"/>
          <w:bCs w:val="1"/>
          <w:color w:val="auto"/>
        </w:rPr>
        <w:t xml:space="preserve"> </w:t>
      </w:r>
      <w:r>
        <w:rPr>
          <w:rFonts w:ascii="Arial" w:cs="Arial" w:eastAsia="Arial" w:hAnsi="Arial"/>
          <w:sz w:val="22"/>
          <w:szCs w:val="22"/>
          <w:color w:val="auto"/>
        </w:rPr>
        <w:t>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9" w:lineRule="exact"/>
        <w:rPr>
          <w:rFonts w:ascii="Arial" w:cs="Arial" w:eastAsia="Arial" w:hAnsi="Arial"/>
          <w:sz w:val="22"/>
          <w:szCs w:val="22"/>
          <w:b w:val="1"/>
          <w:bCs w:val="1"/>
          <w:color w:val="auto"/>
        </w:rPr>
      </w:pPr>
    </w:p>
    <w:p>
      <w:pPr>
        <w:jc w:val="both"/>
        <w:ind w:left="80" w:firstLine="1305"/>
        <w:spacing w:after="0" w:line="293" w:lineRule="auto"/>
        <w:tabs>
          <w:tab w:leader="none" w:pos="1937" w:val="left"/>
        </w:tabs>
        <w:numPr>
          <w:ilvl w:val="2"/>
          <w:numId w:val="2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Actions that Do Not Constitute Issuance of Common Stock and Do Not Reduce Share Reserve. </w:t>
      </w:r>
      <w:r>
        <w:rPr>
          <w:rFonts w:ascii="Arial" w:cs="Arial" w:eastAsia="Arial" w:hAnsi="Arial"/>
          <w:sz w:val="19"/>
          <w:szCs w:val="19"/>
          <w:color w:val="auto"/>
        </w:rPr>
        <w:t>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9"/>
          <w:szCs w:val="19"/>
          <w:i w:val="1"/>
          <w:iCs w:val="1"/>
          <w:color w:val="auto"/>
        </w:rPr>
        <w:t>i.e.</w:t>
      </w:r>
      <w:r>
        <w:rPr>
          <w:rFonts w:ascii="Arial" w:cs="Arial" w:eastAsia="Arial" w:hAnsi="Arial"/>
          <w:sz w:val="19"/>
          <w:szCs w:val="19"/>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44" w:lineRule="exact"/>
        <w:rPr>
          <w:rFonts w:ascii="Arial" w:cs="Arial" w:eastAsia="Arial" w:hAnsi="Arial"/>
          <w:sz w:val="19"/>
          <w:szCs w:val="19"/>
          <w:b w:val="1"/>
          <w:bCs w:val="1"/>
          <w:color w:val="auto"/>
        </w:rPr>
      </w:pPr>
    </w:p>
    <w:p>
      <w:pPr>
        <w:jc w:val="both"/>
        <w:ind w:left="80" w:right="20" w:firstLine="1305"/>
        <w:spacing w:after="0" w:line="256" w:lineRule="auto"/>
        <w:tabs>
          <w:tab w:leader="none" w:pos="1943" w:val="left"/>
        </w:tabs>
        <w:numPr>
          <w:ilvl w:val="2"/>
          <w:numId w:val="2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Reversion of Previously Issued Shares of Common Stock to Share Reserve. </w:t>
      </w:r>
      <w:r>
        <w:rPr>
          <w:rFonts w:ascii="Arial" w:cs="Arial" w:eastAsia="Arial" w:hAnsi="Arial"/>
          <w:sz w:val="22"/>
          <w:szCs w:val="22"/>
          <w:color w:val="auto"/>
        </w:rPr>
        <w:t>The following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previously issued pursuant to an Award and accordingly initially deducted from the Share Reserve will be added back to the Share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266" w:name="page267"/>
    <w:bookmarkEnd w:id="266"/>
    <w:p>
      <w:pPr>
        <w:jc w:val="both"/>
        <w:ind w:left="80"/>
        <w:spacing w:after="0" w:line="265" w:lineRule="auto"/>
        <w:rPr>
          <w:sz w:val="20"/>
          <w:szCs w:val="20"/>
          <w:color w:val="auto"/>
        </w:rPr>
      </w:pPr>
      <w:r>
        <w:rPr>
          <w:rFonts w:ascii="Arial" w:cs="Arial" w:eastAsia="Arial" w:hAnsi="Arial"/>
          <w:sz w:val="21"/>
          <w:szCs w:val="21"/>
          <w:color w:val="auto"/>
        </w:rPr>
        <w:t>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69" w:lineRule="exact"/>
        <w:rPr>
          <w:sz w:val="20"/>
          <w:szCs w:val="20"/>
          <w:color w:val="auto"/>
        </w:rPr>
      </w:pPr>
    </w:p>
    <w:p>
      <w:pPr>
        <w:ind w:left="660" w:hanging="652"/>
        <w:spacing w:after="0"/>
        <w:tabs>
          <w:tab w:leader="none" w:pos="660" w:val="left"/>
        </w:tabs>
        <w:numPr>
          <w:ilvl w:val="0"/>
          <w:numId w:val="206"/>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and Limitations.</w:t>
      </w:r>
    </w:p>
    <w:p>
      <w:pPr>
        <w:spacing w:after="0" w:line="219" w:lineRule="exact"/>
        <w:rPr>
          <w:rFonts w:ascii="Arial" w:cs="Arial" w:eastAsia="Arial" w:hAnsi="Arial"/>
          <w:sz w:val="22"/>
          <w:szCs w:val="22"/>
          <w:b w:val="1"/>
          <w:bCs w:val="1"/>
          <w:color w:val="auto"/>
        </w:rPr>
      </w:pPr>
    </w:p>
    <w:p>
      <w:pPr>
        <w:ind w:right="20" w:firstLine="656"/>
        <w:spacing w:after="0" w:line="269" w:lineRule="auto"/>
        <w:tabs>
          <w:tab w:leader="none" w:pos="1291" w:val="left"/>
        </w:tabs>
        <w:numPr>
          <w:ilvl w:val="1"/>
          <w:numId w:val="20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Eligible Award Recipients. </w:t>
      </w:r>
      <w:r>
        <w:rPr>
          <w:rFonts w:ascii="Arial" w:cs="Arial" w:eastAsia="Arial" w:hAnsi="Arial"/>
          <w:sz w:val="22"/>
          <w:szCs w:val="22"/>
          <w:color w:val="auto"/>
        </w:rPr>
        <w:t>Subject to the terms of the Plan, Employees, Directors and Consultants are eligible to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Awards.</w:t>
      </w:r>
    </w:p>
    <w:p>
      <w:pPr>
        <w:spacing w:after="0" w:line="161" w:lineRule="exact"/>
        <w:rPr>
          <w:rFonts w:ascii="Arial" w:cs="Arial" w:eastAsia="Arial" w:hAnsi="Arial"/>
          <w:sz w:val="22"/>
          <w:szCs w:val="22"/>
          <w:b w:val="1"/>
          <w:bCs w:val="1"/>
          <w:color w:val="auto"/>
        </w:rPr>
      </w:pPr>
    </w:p>
    <w:p>
      <w:pPr>
        <w:ind w:left="1300" w:hanging="644"/>
        <w:spacing w:after="0"/>
        <w:tabs>
          <w:tab w:leader="none" w:pos="1300" w:val="left"/>
        </w:tabs>
        <w:numPr>
          <w:ilvl w:val="1"/>
          <w:numId w:val="206"/>
        </w:numPr>
        <w:rPr>
          <w:rFonts w:ascii="Arial" w:cs="Arial" w:eastAsia="Arial" w:hAnsi="Arial"/>
          <w:sz w:val="22"/>
          <w:szCs w:val="22"/>
          <w:b w:val="1"/>
          <w:bCs w:val="1"/>
          <w:color w:val="auto"/>
        </w:rPr>
      </w:pPr>
      <w:r>
        <w:rPr>
          <w:rFonts w:ascii="Arial" w:cs="Arial" w:eastAsia="Arial" w:hAnsi="Arial"/>
          <w:sz w:val="22"/>
          <w:szCs w:val="22"/>
          <w:b w:val="1"/>
          <w:bCs w:val="1"/>
          <w:color w:val="auto"/>
        </w:rPr>
        <w:t>Specific Award Limitations.</w:t>
      </w:r>
    </w:p>
    <w:p>
      <w:pPr>
        <w:spacing w:after="0" w:line="219" w:lineRule="exact"/>
        <w:rPr>
          <w:rFonts w:ascii="Arial" w:cs="Arial" w:eastAsia="Arial" w:hAnsi="Arial"/>
          <w:sz w:val="22"/>
          <w:szCs w:val="22"/>
          <w:b w:val="1"/>
          <w:bCs w:val="1"/>
          <w:color w:val="auto"/>
        </w:rPr>
      </w:pPr>
    </w:p>
    <w:p>
      <w:pPr>
        <w:jc w:val="both"/>
        <w:ind w:left="80" w:firstLine="1305"/>
        <w:spacing w:after="0" w:line="256" w:lineRule="auto"/>
        <w:tabs>
          <w:tab w:leader="none" w:pos="1931" w:val="left"/>
        </w:tabs>
        <w:numPr>
          <w:ilvl w:val="2"/>
          <w:numId w:val="20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on Incentive Stock Option Recipients. </w:t>
      </w:r>
      <w:r>
        <w:rPr>
          <w:rFonts w:ascii="Arial" w:cs="Arial" w:eastAsia="Arial" w:hAnsi="Arial"/>
          <w:sz w:val="22"/>
          <w:szCs w:val="22"/>
          <w:color w:val="auto"/>
        </w:rPr>
        <w:t>Incentive Stock Options may be granted only to</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of the Company or a “parent corporation” or “subsidiary corporation” thereof (as such terms are defined in Sections 424(e) and (f) of the Code).</w:t>
      </w:r>
    </w:p>
    <w:p>
      <w:pPr>
        <w:spacing w:after="0" w:line="176" w:lineRule="exact"/>
        <w:rPr>
          <w:rFonts w:ascii="Arial" w:cs="Arial" w:eastAsia="Arial" w:hAnsi="Arial"/>
          <w:sz w:val="22"/>
          <w:szCs w:val="22"/>
          <w:b w:val="1"/>
          <w:bCs w:val="1"/>
          <w:color w:val="auto"/>
        </w:rPr>
      </w:pPr>
    </w:p>
    <w:p>
      <w:pPr>
        <w:jc w:val="both"/>
        <w:ind w:left="80" w:firstLine="1305"/>
        <w:spacing w:after="0" w:line="247" w:lineRule="auto"/>
        <w:tabs>
          <w:tab w:leader="none" w:pos="1937" w:val="left"/>
        </w:tabs>
        <w:numPr>
          <w:ilvl w:val="2"/>
          <w:numId w:val="20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Incentive Stock Option $100,000 Limitation. </w:t>
      </w:r>
      <w:r>
        <w:rPr>
          <w:rFonts w:ascii="Arial" w:cs="Arial" w:eastAsia="Arial" w:hAnsi="Arial"/>
          <w:sz w:val="22"/>
          <w:szCs w:val="22"/>
          <w:color w:val="auto"/>
        </w:rPr>
        <w:t>To the extent that the aggregate Fair Market Value</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9" w:lineRule="exact"/>
        <w:rPr>
          <w:rFonts w:ascii="Arial" w:cs="Arial" w:eastAsia="Arial" w:hAnsi="Arial"/>
          <w:sz w:val="22"/>
          <w:szCs w:val="22"/>
          <w:b w:val="1"/>
          <w:bCs w:val="1"/>
          <w:color w:val="auto"/>
        </w:rPr>
      </w:pPr>
    </w:p>
    <w:p>
      <w:pPr>
        <w:jc w:val="both"/>
        <w:ind w:left="80" w:firstLine="1305"/>
        <w:spacing w:after="0" w:line="252" w:lineRule="auto"/>
        <w:tabs>
          <w:tab w:leader="none" w:pos="1943" w:val="left"/>
        </w:tabs>
        <w:numPr>
          <w:ilvl w:val="2"/>
          <w:numId w:val="20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on Incentive Stock Options Granted to Ten Percent Stockholders. </w:t>
      </w:r>
      <w:r>
        <w:rPr>
          <w:rFonts w:ascii="Arial" w:cs="Arial" w:eastAsia="Arial" w:hAnsi="Arial"/>
          <w:sz w:val="22"/>
          <w:szCs w:val="22"/>
          <w:color w:val="auto"/>
        </w:rPr>
        <w:t>A Ten Percent</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79" w:lineRule="exact"/>
        <w:rPr>
          <w:rFonts w:ascii="Arial" w:cs="Arial" w:eastAsia="Arial" w:hAnsi="Arial"/>
          <w:sz w:val="22"/>
          <w:szCs w:val="22"/>
          <w:b w:val="1"/>
          <w:bCs w:val="1"/>
          <w:color w:val="auto"/>
        </w:rPr>
      </w:pPr>
    </w:p>
    <w:p>
      <w:pPr>
        <w:jc w:val="both"/>
        <w:ind w:left="80" w:firstLine="1305"/>
        <w:spacing w:after="0" w:line="264" w:lineRule="auto"/>
        <w:tabs>
          <w:tab w:leader="none" w:pos="1931" w:val="left"/>
        </w:tabs>
        <w:numPr>
          <w:ilvl w:val="2"/>
          <w:numId w:val="20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Limitations on Nonstatutory Stock Options and SARs. </w:t>
      </w:r>
      <w:r>
        <w:rPr>
          <w:rFonts w:ascii="Arial" w:cs="Arial" w:eastAsia="Arial" w:hAnsi="Arial"/>
          <w:sz w:val="21"/>
          <w:szCs w:val="21"/>
          <w:color w:val="auto"/>
        </w:rPr>
        <w:t>Nonstatutory Stock Options and SARs may not</w:t>
      </w:r>
      <w:r>
        <w:rPr>
          <w:rFonts w:ascii="Arial" w:cs="Arial" w:eastAsia="Arial" w:hAnsi="Arial"/>
          <w:sz w:val="21"/>
          <w:szCs w:val="21"/>
          <w:b w:val="1"/>
          <w:bCs w:val="1"/>
          <w:color w:val="auto"/>
        </w:rPr>
        <w:t xml:space="preserve"> </w:t>
      </w:r>
      <w:r>
        <w:rPr>
          <w:rFonts w:ascii="Arial" w:cs="Arial" w:eastAsia="Arial" w:hAnsi="Arial"/>
          <w:sz w:val="21"/>
          <w:szCs w:val="21"/>
          <w:color w:val="auto"/>
        </w:rPr>
        <w:t>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0" w:lineRule="exact"/>
        <w:rPr>
          <w:rFonts w:ascii="Arial" w:cs="Arial" w:eastAsia="Arial" w:hAnsi="Arial"/>
          <w:sz w:val="21"/>
          <w:szCs w:val="21"/>
          <w:b w:val="1"/>
          <w:bCs w:val="1"/>
          <w:color w:val="auto"/>
        </w:rPr>
      </w:pPr>
    </w:p>
    <w:p>
      <w:pPr>
        <w:ind w:firstLine="656"/>
        <w:spacing w:after="0" w:line="293" w:lineRule="auto"/>
        <w:tabs>
          <w:tab w:leader="none" w:pos="1293" w:val="left"/>
        </w:tabs>
        <w:numPr>
          <w:ilvl w:val="1"/>
          <w:numId w:val="20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Aggregate Incentive Stock Option Limit. </w:t>
      </w:r>
      <w:r>
        <w:rPr>
          <w:rFonts w:ascii="Arial" w:cs="Arial" w:eastAsia="Arial" w:hAnsi="Arial"/>
          <w:sz w:val="21"/>
          <w:szCs w:val="21"/>
          <w:color w:val="auto"/>
        </w:rPr>
        <w:t>The aggregate maximum number of shares of Common Stock that</w:t>
      </w:r>
      <w:r>
        <w:rPr>
          <w:rFonts w:ascii="Arial" w:cs="Arial" w:eastAsia="Arial" w:hAnsi="Arial"/>
          <w:sz w:val="21"/>
          <w:szCs w:val="21"/>
          <w:b w:val="1"/>
          <w:bCs w:val="1"/>
          <w:color w:val="auto"/>
        </w:rPr>
        <w:t xml:space="preserve"> </w:t>
      </w:r>
      <w:r>
        <w:rPr>
          <w:rFonts w:ascii="Arial" w:cs="Arial" w:eastAsia="Arial" w:hAnsi="Arial"/>
          <w:sz w:val="21"/>
          <w:szCs w:val="21"/>
          <w:color w:val="auto"/>
        </w:rPr>
        <w:t>may be issued pursuant to the exercise of Incentive Stock Options is the number of shares specified in Section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267" w:name="page268"/>
    <w:bookmarkEnd w:id="267"/>
    <w:p>
      <w:pPr>
        <w:jc w:val="both"/>
        <w:ind w:firstLine="656"/>
        <w:spacing w:after="0" w:line="247" w:lineRule="auto"/>
        <w:tabs>
          <w:tab w:leader="none" w:pos="1290" w:val="left"/>
        </w:tabs>
        <w:numPr>
          <w:ilvl w:val="1"/>
          <w:numId w:val="20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Non-Employee Director Compensation Limit. </w:t>
      </w:r>
      <w:r>
        <w:rPr>
          <w:rFonts w:ascii="Arial" w:cs="Arial" w:eastAsia="Arial" w:hAnsi="Arial"/>
          <w:sz w:val="22"/>
          <w:szCs w:val="22"/>
          <w:color w:val="auto"/>
        </w:rPr>
        <w:t>The aggregate value of all compensation granted or paid,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to any individual for 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beginning with the first calendar year that commences following the Effective Date.</w:t>
      </w:r>
    </w:p>
    <w:p>
      <w:pPr>
        <w:spacing w:after="0" w:line="189" w:lineRule="exact"/>
        <w:rPr>
          <w:rFonts w:ascii="Arial" w:cs="Arial" w:eastAsia="Arial" w:hAnsi="Arial"/>
          <w:sz w:val="22"/>
          <w:szCs w:val="22"/>
          <w:b w:val="1"/>
          <w:bCs w:val="1"/>
          <w:color w:val="auto"/>
        </w:rPr>
      </w:pPr>
    </w:p>
    <w:p>
      <w:pPr>
        <w:ind w:left="660" w:hanging="652"/>
        <w:spacing w:after="0"/>
        <w:tabs>
          <w:tab w:leader="none" w:pos="660" w:val="left"/>
        </w:tabs>
        <w:numPr>
          <w:ilvl w:val="0"/>
          <w:numId w:val="208"/>
        </w:numPr>
        <w:rPr>
          <w:rFonts w:ascii="Arial" w:cs="Arial" w:eastAsia="Arial" w:hAnsi="Arial"/>
          <w:sz w:val="22"/>
          <w:szCs w:val="22"/>
          <w:b w:val="1"/>
          <w:bCs w:val="1"/>
          <w:color w:val="auto"/>
        </w:rPr>
      </w:pPr>
      <w:r>
        <w:rPr>
          <w:rFonts w:ascii="Arial" w:cs="Arial" w:eastAsia="Arial" w:hAnsi="Arial"/>
          <w:sz w:val="22"/>
          <w:szCs w:val="22"/>
          <w:b w:val="1"/>
          <w:bCs w:val="1"/>
          <w:color w:val="auto"/>
        </w:rPr>
        <w:t>Options and Stock Appreciation Rights.</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Each Option and SAR will have such terms and conditions as determined by the Board. Each Option will be designated in</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writing as an Incentive Stock Option or Nonstatutory Stock Option at the time of grant; provided, however, that if an Option is not so designated, then such Option will be a Nonstatutory Stock Option. The shares purchased upon exercise of each type of Option will be accounted for separately.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0" w:lineRule="exact"/>
        <w:rPr>
          <w:sz w:val="20"/>
          <w:szCs w:val="20"/>
          <w:color w:val="auto"/>
        </w:rPr>
      </w:pPr>
    </w:p>
    <w:p>
      <w:pPr>
        <w:jc w:val="both"/>
        <w:ind w:firstLine="656"/>
        <w:spacing w:after="0" w:line="256" w:lineRule="auto"/>
        <w:tabs>
          <w:tab w:leader="none" w:pos="1291" w:val="left"/>
        </w:tabs>
        <w:numPr>
          <w:ilvl w:val="0"/>
          <w:numId w:val="2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Subject to Section 3(b) regarding Incentive Stock Options granted to Ten Percent Stockholders, no Option</w:t>
      </w:r>
      <w:r>
        <w:rPr>
          <w:rFonts w:ascii="Arial" w:cs="Arial" w:eastAsia="Arial" w:hAnsi="Arial"/>
          <w:sz w:val="22"/>
          <w:szCs w:val="22"/>
          <w:b w:val="1"/>
          <w:bCs w:val="1"/>
          <w:color w:val="auto"/>
        </w:rPr>
        <w:t xml:space="preserve"> </w:t>
      </w:r>
      <w:r>
        <w:rPr>
          <w:rFonts w:ascii="Arial" w:cs="Arial" w:eastAsia="Arial" w:hAnsi="Arial"/>
          <w:sz w:val="22"/>
          <w:szCs w:val="22"/>
          <w:color w:val="auto"/>
        </w:rPr>
        <w:t>or SAR will be exercisable after the expiration of ten years from the date of grant of such Award or such shorter period specified in the Award Agreement.</w:t>
      </w:r>
    </w:p>
    <w:p>
      <w:pPr>
        <w:spacing w:after="0" w:line="176" w:lineRule="exact"/>
        <w:rPr>
          <w:rFonts w:ascii="Arial" w:cs="Arial" w:eastAsia="Arial" w:hAnsi="Arial"/>
          <w:sz w:val="22"/>
          <w:szCs w:val="22"/>
          <w:b w:val="1"/>
          <w:bCs w:val="1"/>
          <w:color w:val="auto"/>
        </w:rPr>
      </w:pPr>
    </w:p>
    <w:p>
      <w:pPr>
        <w:jc w:val="both"/>
        <w:ind w:firstLine="656"/>
        <w:spacing w:after="0" w:line="248" w:lineRule="auto"/>
        <w:tabs>
          <w:tab w:leader="none" w:pos="1290" w:val="left"/>
        </w:tabs>
        <w:numPr>
          <w:ilvl w:val="0"/>
          <w:numId w:val="2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or Strike Price. </w:t>
      </w:r>
      <w:r>
        <w:rPr>
          <w:rFonts w:ascii="Arial" w:cs="Arial" w:eastAsia="Arial" w:hAnsi="Arial"/>
          <w:sz w:val="22"/>
          <w:szCs w:val="22"/>
          <w:color w:val="auto"/>
        </w:rPr>
        <w:t>Subject to Section 3(b) regarding Ten Percent Stockholders, the exercise or strike price</w:t>
      </w:r>
      <w:r>
        <w:rPr>
          <w:rFonts w:ascii="Arial" w:cs="Arial" w:eastAsia="Arial" w:hAnsi="Arial"/>
          <w:sz w:val="22"/>
          <w:szCs w:val="22"/>
          <w:b w:val="1"/>
          <w:bCs w:val="1"/>
          <w:color w:val="auto"/>
        </w:rPr>
        <w:t xml:space="preserve"> </w:t>
      </w:r>
      <w:r>
        <w:rPr>
          <w:rFonts w:ascii="Arial" w:cs="Arial" w:eastAsia="Arial" w:hAnsi="Arial"/>
          <w:sz w:val="22"/>
          <w:szCs w:val="22"/>
          <w:color w:val="auto"/>
        </w:rPr>
        <w:t>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86" w:lineRule="exact"/>
        <w:rPr>
          <w:rFonts w:ascii="Arial" w:cs="Arial" w:eastAsia="Arial" w:hAnsi="Arial"/>
          <w:sz w:val="22"/>
          <w:szCs w:val="22"/>
          <w:b w:val="1"/>
          <w:bCs w:val="1"/>
          <w:color w:val="auto"/>
        </w:rPr>
      </w:pPr>
    </w:p>
    <w:p>
      <w:pPr>
        <w:jc w:val="both"/>
        <w:ind w:firstLine="656"/>
        <w:spacing w:after="0" w:line="248" w:lineRule="auto"/>
        <w:tabs>
          <w:tab w:leader="none" w:pos="1293" w:val="left"/>
        </w:tabs>
        <w:numPr>
          <w:ilvl w:val="0"/>
          <w:numId w:val="2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Procedure and Payment of Exercise Price for Options. </w:t>
      </w:r>
      <w:r>
        <w:rPr>
          <w:rFonts w:ascii="Arial" w:cs="Arial" w:eastAsia="Arial" w:hAnsi="Arial"/>
          <w:sz w:val="22"/>
          <w:szCs w:val="22"/>
          <w:color w:val="auto"/>
        </w:rPr>
        <w:t>In order to exercise an Option, the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color w:val="auto"/>
        </w:rPr>
        <w:t>the Board, by one or more of the following methods of payment to the extent set forth in the Option Agreement:</w:t>
      </w:r>
    </w:p>
    <w:p>
      <w:pPr>
        <w:spacing w:after="0" w:line="220" w:lineRule="exact"/>
        <w:rPr>
          <w:sz w:val="20"/>
          <w:szCs w:val="20"/>
          <w:color w:val="auto"/>
        </w:rPr>
      </w:pPr>
    </w:p>
    <w:p>
      <w:pPr>
        <w:ind w:left="1940" w:hanging="555"/>
        <w:spacing w:after="0"/>
        <w:tabs>
          <w:tab w:leader="none" w:pos="1940" w:val="left"/>
        </w:tabs>
        <w:numPr>
          <w:ilvl w:val="1"/>
          <w:numId w:val="210"/>
        </w:numPr>
        <w:rPr>
          <w:rFonts w:ascii="Arial" w:cs="Arial" w:eastAsia="Arial" w:hAnsi="Arial"/>
          <w:sz w:val="19"/>
          <w:szCs w:val="19"/>
          <w:b w:val="1"/>
          <w:bCs w:val="1"/>
          <w:color w:val="auto"/>
        </w:rPr>
      </w:pPr>
      <w:r>
        <w:rPr>
          <w:rFonts w:ascii="Arial" w:cs="Arial" w:eastAsia="Arial" w:hAnsi="Arial"/>
          <w:sz w:val="19"/>
          <w:szCs w:val="19"/>
          <w:color w:val="auto"/>
        </w:rPr>
        <w:t>by cash or check, bank draft or money order (or an electronic equivalent thereof) payable to the Company;</w:t>
      </w:r>
    </w:p>
    <w:p>
      <w:pPr>
        <w:spacing w:after="0" w:line="254" w:lineRule="exact"/>
        <w:rPr>
          <w:rFonts w:ascii="Arial" w:cs="Arial" w:eastAsia="Arial" w:hAnsi="Arial"/>
          <w:sz w:val="19"/>
          <w:szCs w:val="19"/>
          <w:b w:val="1"/>
          <w:bCs w:val="1"/>
          <w:color w:val="auto"/>
        </w:rPr>
      </w:pPr>
    </w:p>
    <w:p>
      <w:pPr>
        <w:jc w:val="both"/>
        <w:ind w:left="80" w:firstLine="1305"/>
        <w:spacing w:after="0" w:line="250" w:lineRule="auto"/>
        <w:tabs>
          <w:tab w:leader="none" w:pos="1937" w:val="left"/>
        </w:tabs>
        <w:numPr>
          <w:ilvl w:val="1"/>
          <w:numId w:val="210"/>
        </w:numPr>
        <w:rPr>
          <w:rFonts w:ascii="Arial" w:cs="Arial" w:eastAsia="Arial" w:hAnsi="Arial"/>
          <w:sz w:val="22"/>
          <w:szCs w:val="22"/>
          <w:b w:val="1"/>
          <w:bCs w:val="1"/>
          <w:color w:val="auto"/>
        </w:rPr>
      </w:pPr>
      <w:r>
        <w:rPr>
          <w:rFonts w:ascii="Arial" w:cs="Arial" w:eastAsia="Arial" w:hAnsi="Arial"/>
          <w:sz w:val="22"/>
          <w:szCs w:val="22"/>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87" w:lineRule="exact"/>
        <w:rPr>
          <w:rFonts w:ascii="Arial" w:cs="Arial" w:eastAsia="Arial" w:hAnsi="Arial"/>
          <w:sz w:val="22"/>
          <w:szCs w:val="22"/>
          <w:b w:val="1"/>
          <w:bCs w:val="1"/>
          <w:color w:val="auto"/>
        </w:rPr>
      </w:pPr>
    </w:p>
    <w:p>
      <w:pPr>
        <w:jc w:val="both"/>
        <w:ind w:left="80" w:firstLine="1305"/>
        <w:spacing w:after="0" w:line="259" w:lineRule="auto"/>
        <w:tabs>
          <w:tab w:leader="none" w:pos="1943" w:val="left"/>
        </w:tabs>
        <w:numPr>
          <w:ilvl w:val="1"/>
          <w:numId w:val="210"/>
        </w:numPr>
        <w:rPr>
          <w:rFonts w:ascii="Arial" w:cs="Arial" w:eastAsia="Arial" w:hAnsi="Arial"/>
          <w:sz w:val="21"/>
          <w:szCs w:val="21"/>
          <w:b w:val="1"/>
          <w:bCs w:val="1"/>
          <w:color w:val="auto"/>
        </w:rPr>
      </w:pPr>
      <w:r>
        <w:rPr>
          <w:rFonts w:ascii="Arial" w:cs="Arial" w:eastAsia="Arial" w:hAnsi="Arial"/>
          <w:sz w:val="21"/>
          <w:szCs w:val="21"/>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3" w:lineRule="exact"/>
        <w:rPr>
          <w:rFonts w:ascii="Arial" w:cs="Arial" w:eastAsia="Arial" w:hAnsi="Arial"/>
          <w:sz w:val="21"/>
          <w:szCs w:val="21"/>
          <w:b w:val="1"/>
          <w:bCs w:val="1"/>
          <w:color w:val="auto"/>
        </w:rPr>
      </w:pPr>
    </w:p>
    <w:p>
      <w:pPr>
        <w:jc w:val="both"/>
        <w:ind w:left="80" w:firstLine="1305"/>
        <w:spacing w:after="0" w:line="248" w:lineRule="auto"/>
        <w:tabs>
          <w:tab w:leader="none" w:pos="1931" w:val="left"/>
        </w:tabs>
        <w:numPr>
          <w:ilvl w:val="1"/>
          <w:numId w:val="210"/>
        </w:numPr>
        <w:rPr>
          <w:rFonts w:ascii="Arial" w:cs="Arial" w:eastAsia="Arial" w:hAnsi="Arial"/>
          <w:sz w:val="22"/>
          <w:szCs w:val="22"/>
          <w:b w:val="1"/>
          <w:bCs w:val="1"/>
          <w:color w:val="auto"/>
        </w:rPr>
      </w:pPr>
      <w:r>
        <w:rPr>
          <w:rFonts w:ascii="Arial" w:cs="Arial" w:eastAsia="Arial" w:hAnsi="Arial"/>
          <w:sz w:val="22"/>
          <w:szCs w:val="22"/>
          <w:color w:val="auto"/>
        </w:rPr>
        <w:t>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91" w:lineRule="exact"/>
        <w:rPr>
          <w:rFonts w:ascii="Arial" w:cs="Arial" w:eastAsia="Arial" w:hAnsi="Arial"/>
          <w:sz w:val="22"/>
          <w:szCs w:val="22"/>
          <w:b w:val="1"/>
          <w:bCs w:val="1"/>
          <w:color w:val="auto"/>
        </w:rPr>
      </w:pPr>
    </w:p>
    <w:p>
      <w:pPr>
        <w:ind w:left="1940" w:hanging="555"/>
        <w:spacing w:after="0"/>
        <w:tabs>
          <w:tab w:leader="none" w:pos="1940" w:val="left"/>
        </w:tabs>
        <w:numPr>
          <w:ilvl w:val="1"/>
          <w:numId w:val="210"/>
        </w:numPr>
        <w:rPr>
          <w:rFonts w:ascii="Arial" w:cs="Arial" w:eastAsia="Arial" w:hAnsi="Arial"/>
          <w:sz w:val="19"/>
          <w:szCs w:val="19"/>
          <w:b w:val="1"/>
          <w:bCs w:val="1"/>
          <w:color w:val="auto"/>
        </w:rPr>
      </w:pPr>
      <w:r>
        <w:rPr>
          <w:rFonts w:ascii="Arial" w:cs="Arial" w:eastAsia="Arial" w:hAnsi="Arial"/>
          <w:sz w:val="19"/>
          <w:szCs w:val="19"/>
          <w:color w:val="auto"/>
        </w:rPr>
        <w:t>in any other form of consideration that may be acceptable to the Board and permissible under Applicable</w:t>
      </w:r>
    </w:p>
    <w:p>
      <w:pPr>
        <w:spacing w:after="0" w:line="55" w:lineRule="exact"/>
        <w:rPr>
          <w:rFonts w:ascii="Arial" w:cs="Arial" w:eastAsia="Arial" w:hAnsi="Arial"/>
          <w:sz w:val="19"/>
          <w:szCs w:val="19"/>
          <w:b w:val="1"/>
          <w:bCs w:val="1"/>
          <w:color w:val="auto"/>
        </w:rPr>
      </w:pPr>
    </w:p>
    <w:p>
      <w:pPr>
        <w:ind w:left="80"/>
        <w:spacing w:after="0"/>
        <w:rPr>
          <w:rFonts w:ascii="Arial" w:cs="Arial" w:eastAsia="Arial" w:hAnsi="Arial"/>
          <w:sz w:val="19"/>
          <w:szCs w:val="19"/>
          <w:b w:val="1"/>
          <w:bCs w:val="1"/>
          <w:color w:val="auto"/>
        </w:rPr>
      </w:pPr>
      <w:r>
        <w:rPr>
          <w:rFonts w:ascii="Arial" w:cs="Arial" w:eastAsia="Arial" w:hAnsi="Arial"/>
          <w:sz w:val="22"/>
          <w:szCs w:val="22"/>
          <w:color w:val="auto"/>
        </w:rPr>
        <w:t>Law.</w:t>
      </w:r>
    </w:p>
    <w:p>
      <w:pPr>
        <w:spacing w:after="0" w:line="195" w:lineRule="exact"/>
        <w:rPr>
          <w:rFonts w:ascii="Arial" w:cs="Arial" w:eastAsia="Arial" w:hAnsi="Arial"/>
          <w:sz w:val="19"/>
          <w:szCs w:val="19"/>
          <w:b w:val="1"/>
          <w:bCs w:val="1"/>
          <w:color w:val="auto"/>
        </w:rPr>
      </w:pPr>
    </w:p>
    <w:p>
      <w:pPr>
        <w:jc w:val="both"/>
        <w:ind w:firstLine="656"/>
        <w:spacing w:after="0" w:line="293" w:lineRule="auto"/>
        <w:tabs>
          <w:tab w:leader="none" w:pos="1290" w:val="left"/>
        </w:tabs>
        <w:numPr>
          <w:ilvl w:val="0"/>
          <w:numId w:val="2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Procedure and Payment of Appreciation Distribution for SARs. </w:t>
      </w:r>
      <w:r>
        <w:rPr>
          <w:rFonts w:ascii="Arial" w:cs="Arial" w:eastAsia="Arial" w:hAnsi="Arial"/>
          <w:sz w:val="19"/>
          <w:szCs w:val="19"/>
          <w:color w:val="auto"/>
        </w:rPr>
        <w:t>In order to exercise any SAR,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44" w:lineRule="exact"/>
        <w:rPr>
          <w:rFonts w:ascii="Arial" w:cs="Arial" w:eastAsia="Arial" w:hAnsi="Arial"/>
          <w:sz w:val="19"/>
          <w:szCs w:val="19"/>
          <w:b w:val="1"/>
          <w:bCs w:val="1"/>
          <w:color w:val="auto"/>
        </w:rPr>
      </w:pPr>
    </w:p>
    <w:p>
      <w:pPr>
        <w:ind w:firstLine="656"/>
        <w:spacing w:after="0" w:line="269" w:lineRule="auto"/>
        <w:tabs>
          <w:tab w:leader="none" w:pos="1293" w:val="left"/>
        </w:tabs>
        <w:numPr>
          <w:ilvl w:val="0"/>
          <w:numId w:val="2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Transferability. </w:t>
      </w:r>
      <w:r>
        <w:rPr>
          <w:rFonts w:ascii="Arial" w:cs="Arial" w:eastAsia="Arial" w:hAnsi="Arial"/>
          <w:sz w:val="22"/>
          <w:szCs w:val="22"/>
          <w:color w:val="auto"/>
        </w:rPr>
        <w:t>Options and SARs may not be transferred to third party financial institutions for value.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may impose such additional limitations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269" w:name="page270"/>
    <w:bookmarkEnd w:id="269"/>
    <w:p>
      <w:pPr>
        <w:jc w:val="both"/>
        <w:spacing w:after="0" w:line="265" w:lineRule="auto"/>
        <w:rPr>
          <w:sz w:val="20"/>
          <w:szCs w:val="20"/>
          <w:color w:val="auto"/>
        </w:rPr>
      </w:pPr>
      <w:r>
        <w:rPr>
          <w:rFonts w:ascii="Arial" w:cs="Arial" w:eastAsia="Arial" w:hAnsi="Arial"/>
          <w:sz w:val="21"/>
          <w:szCs w:val="21"/>
          <w:color w:val="auto"/>
        </w:rPr>
        <w:t xml:space="preserve">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21"/>
          <w:szCs w:val="21"/>
          <w:i w:val="1"/>
          <w:iCs w:val="1"/>
          <w:color w:val="auto"/>
        </w:rPr>
        <w:t>provided, further</w:t>
      </w:r>
      <w:r>
        <w:rPr>
          <w:rFonts w:ascii="Arial" w:cs="Arial" w:eastAsia="Arial" w:hAnsi="Arial"/>
          <w:sz w:val="21"/>
          <w:szCs w:val="21"/>
          <w:color w:val="auto"/>
        </w:rPr>
        <w:t>, that if an Option is an Incentive Stock Option, such Option may be deemed to be a Nonstatutory Stock Option as a result of such transfer:</w:t>
      </w:r>
    </w:p>
    <w:p>
      <w:pPr>
        <w:spacing w:after="0" w:line="169" w:lineRule="exact"/>
        <w:rPr>
          <w:sz w:val="20"/>
          <w:szCs w:val="20"/>
          <w:color w:val="auto"/>
        </w:rPr>
      </w:pPr>
    </w:p>
    <w:p>
      <w:pPr>
        <w:jc w:val="both"/>
        <w:ind w:left="80" w:firstLine="1305"/>
        <w:spacing w:after="0" w:line="295" w:lineRule="auto"/>
        <w:tabs>
          <w:tab w:leader="none" w:pos="1931" w:val="left"/>
        </w:tabs>
        <w:numPr>
          <w:ilvl w:val="1"/>
          <w:numId w:val="2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Transfer. </w:t>
      </w:r>
      <w:r>
        <w:rPr>
          <w:rFonts w:ascii="Arial" w:cs="Arial" w:eastAsia="Arial" w:hAnsi="Arial"/>
          <w:sz w:val="19"/>
          <w:szCs w:val="19"/>
          <w:color w:val="auto"/>
        </w:rPr>
        <w:t>An Option or SAR will not be transferable, except by will or by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43" w:lineRule="exact"/>
        <w:rPr>
          <w:rFonts w:ascii="Arial" w:cs="Arial" w:eastAsia="Arial" w:hAnsi="Arial"/>
          <w:sz w:val="19"/>
          <w:szCs w:val="19"/>
          <w:b w:val="1"/>
          <w:bCs w:val="1"/>
          <w:color w:val="auto"/>
        </w:rPr>
      </w:pPr>
    </w:p>
    <w:p>
      <w:pPr>
        <w:jc w:val="both"/>
        <w:ind w:left="80" w:firstLine="1305"/>
        <w:spacing w:after="0" w:line="256" w:lineRule="auto"/>
        <w:tabs>
          <w:tab w:leader="none" w:pos="1937" w:val="left"/>
        </w:tabs>
        <w:numPr>
          <w:ilvl w:val="1"/>
          <w:numId w:val="2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Domestic Relations Orders. </w:t>
      </w:r>
      <w:r>
        <w:rPr>
          <w:rFonts w:ascii="Arial" w:cs="Arial" w:eastAsia="Arial" w:hAnsi="Arial"/>
          <w:sz w:val="22"/>
          <w:szCs w:val="22"/>
          <w:color w:val="auto"/>
        </w:rPr>
        <w:t>Notwithstanding the foregoing, subject to the execution of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documentation in a format acceptable to the Company and subject to the approval of the Board or a duly authorized Officer, an Option or SAR may be transferred pursuant to a domestic relations order.</w:t>
      </w:r>
    </w:p>
    <w:p>
      <w:pPr>
        <w:spacing w:after="0" w:line="176" w:lineRule="exact"/>
        <w:rPr>
          <w:rFonts w:ascii="Arial" w:cs="Arial" w:eastAsia="Arial" w:hAnsi="Arial"/>
          <w:sz w:val="22"/>
          <w:szCs w:val="22"/>
          <w:b w:val="1"/>
          <w:bCs w:val="1"/>
          <w:color w:val="auto"/>
        </w:rPr>
      </w:pPr>
    </w:p>
    <w:p>
      <w:pPr>
        <w:jc w:val="both"/>
        <w:ind w:firstLine="656"/>
        <w:spacing w:after="0" w:line="252" w:lineRule="auto"/>
        <w:tabs>
          <w:tab w:leader="none" w:pos="1296" w:val="left"/>
        </w:tabs>
        <w:numPr>
          <w:ilvl w:val="0"/>
          <w:numId w:val="2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The Board may impose such restrictions on or conditions to the vesting and/or exercisability of an Option</w:t>
      </w:r>
      <w:r>
        <w:rPr>
          <w:rFonts w:ascii="Arial" w:cs="Arial" w:eastAsia="Arial" w:hAnsi="Arial"/>
          <w:sz w:val="22"/>
          <w:szCs w:val="22"/>
          <w:b w:val="1"/>
          <w:bCs w:val="1"/>
          <w:color w:val="auto"/>
        </w:rPr>
        <w:t xml:space="preserve"> </w:t>
      </w:r>
      <w:r>
        <w:rPr>
          <w:rFonts w:ascii="Arial" w:cs="Arial" w:eastAsia="Arial" w:hAnsi="Arial"/>
          <w:sz w:val="22"/>
          <w:szCs w:val="22"/>
          <w:color w:val="auto"/>
        </w:rPr>
        <w:t>or SAR as 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179" w:lineRule="exact"/>
        <w:rPr>
          <w:rFonts w:ascii="Arial" w:cs="Arial" w:eastAsia="Arial" w:hAnsi="Arial"/>
          <w:sz w:val="22"/>
          <w:szCs w:val="22"/>
          <w:b w:val="1"/>
          <w:bCs w:val="1"/>
          <w:color w:val="auto"/>
        </w:rPr>
      </w:pPr>
    </w:p>
    <w:p>
      <w:pPr>
        <w:jc w:val="both"/>
        <w:ind w:firstLine="656"/>
        <w:spacing w:after="0" w:line="247" w:lineRule="auto"/>
        <w:tabs>
          <w:tab w:leader="none" w:pos="1291" w:val="left"/>
        </w:tabs>
        <w:numPr>
          <w:ilvl w:val="0"/>
          <w:numId w:val="2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Continuous Service for Cause. </w:t>
      </w:r>
      <w:r>
        <w:rPr>
          <w:rFonts w:ascii="Arial" w:cs="Arial" w:eastAsia="Arial" w:hAnsi="Arial"/>
          <w:sz w:val="22"/>
          <w:szCs w:val="22"/>
          <w:color w:val="auto"/>
        </w:rPr>
        <w:t>Except as explicitly otherwise provided in the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9" w:lineRule="exact"/>
        <w:rPr>
          <w:rFonts w:ascii="Arial" w:cs="Arial" w:eastAsia="Arial" w:hAnsi="Arial"/>
          <w:sz w:val="22"/>
          <w:szCs w:val="22"/>
          <w:b w:val="1"/>
          <w:bCs w:val="1"/>
          <w:color w:val="auto"/>
        </w:rPr>
      </w:pPr>
    </w:p>
    <w:p>
      <w:pPr>
        <w:jc w:val="both"/>
        <w:ind w:firstLine="656"/>
        <w:spacing w:after="0" w:line="267" w:lineRule="auto"/>
        <w:tabs>
          <w:tab w:leader="none" w:pos="1290" w:val="left"/>
        </w:tabs>
        <w:numPr>
          <w:ilvl w:val="0"/>
          <w:numId w:val="21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Post-Termination Exercise Period Following Termination of Continuous Service for Reasons Other than Cause. </w:t>
      </w:r>
      <w:r>
        <w:rPr>
          <w:rFonts w:ascii="Arial" w:cs="Arial" w:eastAsia="Arial" w:hAnsi="Arial"/>
          <w:sz w:val="21"/>
          <w:szCs w:val="21"/>
          <w:color w:val="auto"/>
        </w:rPr>
        <w:t>Subject to Section 4(i), if a Participant’s Continuous Service terminates for any reason other than for Cause,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may exercise their Option or SAR to the extent vested, but only within the following period of time or, if applicable, such other period of time provided in the Award Agreement or other written agreement between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70" w:name="page271"/>
    <w:bookmarkEnd w:id="270"/>
    <w:p>
      <w:pPr>
        <w:spacing w:after="0" w:line="263" w:lineRule="auto"/>
        <w:rPr>
          <w:sz w:val="20"/>
          <w:szCs w:val="20"/>
          <w:color w:val="auto"/>
        </w:rPr>
      </w:pPr>
      <w:r>
        <w:rPr>
          <w:rFonts w:ascii="Arial" w:cs="Arial" w:eastAsia="Arial" w:hAnsi="Arial"/>
          <w:sz w:val="22"/>
          <w:szCs w:val="22"/>
          <w:color w:val="auto"/>
        </w:rPr>
        <w:t>Participant and the Company or an Affiliate; provided, however, that in no event may such Award be exercised after the expiration of its maximum term (as set forth in Section 4(a)):</w:t>
      </w:r>
    </w:p>
    <w:p>
      <w:pPr>
        <w:spacing w:after="0" w:line="175" w:lineRule="exact"/>
        <w:rPr>
          <w:sz w:val="20"/>
          <w:szCs w:val="20"/>
          <w:color w:val="auto"/>
        </w:rPr>
      </w:pPr>
    </w:p>
    <w:p>
      <w:pPr>
        <w:ind w:left="80" w:firstLine="1305"/>
        <w:spacing w:after="0" w:line="263" w:lineRule="auto"/>
        <w:tabs>
          <w:tab w:leader="none" w:pos="1931" w:val="left"/>
        </w:tabs>
        <w:numPr>
          <w:ilvl w:val="0"/>
          <w:numId w:val="214"/>
        </w:numPr>
        <w:rPr>
          <w:rFonts w:ascii="Arial" w:cs="Arial" w:eastAsia="Arial" w:hAnsi="Arial"/>
          <w:sz w:val="22"/>
          <w:szCs w:val="22"/>
          <w:b w:val="1"/>
          <w:bCs w:val="1"/>
          <w:color w:val="auto"/>
        </w:rPr>
      </w:pPr>
      <w:r>
        <w:rPr>
          <w:rFonts w:ascii="Arial" w:cs="Arial" w:eastAsia="Arial" w:hAnsi="Arial"/>
          <w:sz w:val="22"/>
          <w:szCs w:val="22"/>
          <w:color w:val="auto"/>
        </w:rPr>
        <w:t>three months following the date of such termination if such termination is a termination without Cause (other than any termination due to the Participant’s Disability or death);</w:t>
      </w:r>
    </w:p>
    <w:p>
      <w:pPr>
        <w:spacing w:after="0" w:line="174" w:lineRule="exact"/>
        <w:rPr>
          <w:rFonts w:ascii="Arial" w:cs="Arial" w:eastAsia="Arial" w:hAnsi="Arial"/>
          <w:sz w:val="22"/>
          <w:szCs w:val="22"/>
          <w:b w:val="1"/>
          <w:bCs w:val="1"/>
          <w:color w:val="auto"/>
        </w:rPr>
      </w:pPr>
    </w:p>
    <w:p>
      <w:pPr>
        <w:ind w:left="1940" w:hanging="555"/>
        <w:spacing w:after="0"/>
        <w:tabs>
          <w:tab w:leader="none" w:pos="1940" w:val="left"/>
        </w:tabs>
        <w:numPr>
          <w:ilvl w:val="0"/>
          <w:numId w:val="214"/>
        </w:numPr>
        <w:rPr>
          <w:rFonts w:ascii="Arial" w:cs="Arial" w:eastAsia="Arial" w:hAnsi="Arial"/>
          <w:sz w:val="19"/>
          <w:szCs w:val="19"/>
          <w:b w:val="1"/>
          <w:bCs w:val="1"/>
          <w:color w:val="auto"/>
        </w:rPr>
      </w:pPr>
      <w:r>
        <w:rPr>
          <w:rFonts w:ascii="Arial" w:cs="Arial" w:eastAsia="Arial" w:hAnsi="Arial"/>
          <w:sz w:val="19"/>
          <w:szCs w:val="19"/>
          <w:color w:val="auto"/>
        </w:rPr>
        <w:t>12 months following the date of such termination if such termination is due to the Participant’s Disability;</w:t>
      </w:r>
    </w:p>
    <w:p>
      <w:pPr>
        <w:spacing w:after="0" w:line="254" w:lineRule="exact"/>
        <w:rPr>
          <w:rFonts w:ascii="Arial" w:cs="Arial" w:eastAsia="Arial" w:hAnsi="Arial"/>
          <w:sz w:val="19"/>
          <w:szCs w:val="19"/>
          <w:b w:val="1"/>
          <w:bCs w:val="1"/>
          <w:color w:val="auto"/>
        </w:rPr>
      </w:pPr>
    </w:p>
    <w:p>
      <w:pPr>
        <w:ind w:left="1960" w:hanging="575"/>
        <w:spacing w:after="0"/>
        <w:tabs>
          <w:tab w:leader="none" w:pos="1960" w:val="left"/>
        </w:tabs>
        <w:numPr>
          <w:ilvl w:val="0"/>
          <w:numId w:val="214"/>
        </w:numPr>
        <w:rPr>
          <w:rFonts w:ascii="Arial" w:cs="Arial" w:eastAsia="Arial" w:hAnsi="Arial"/>
          <w:sz w:val="19"/>
          <w:szCs w:val="19"/>
          <w:b w:val="1"/>
          <w:bCs w:val="1"/>
          <w:color w:val="auto"/>
        </w:rPr>
      </w:pPr>
      <w:r>
        <w:rPr>
          <w:rFonts w:ascii="Arial" w:cs="Arial" w:eastAsia="Arial" w:hAnsi="Arial"/>
          <w:sz w:val="19"/>
          <w:szCs w:val="19"/>
          <w:color w:val="auto"/>
        </w:rPr>
        <w:t>18 months following the date of such termination if such termination is due to the Participant’s death; or</w:t>
      </w:r>
    </w:p>
    <w:p>
      <w:pPr>
        <w:spacing w:after="0" w:line="254" w:lineRule="exact"/>
        <w:rPr>
          <w:rFonts w:ascii="Arial" w:cs="Arial" w:eastAsia="Arial" w:hAnsi="Arial"/>
          <w:sz w:val="19"/>
          <w:szCs w:val="19"/>
          <w:b w:val="1"/>
          <w:bCs w:val="1"/>
          <w:color w:val="auto"/>
        </w:rPr>
      </w:pPr>
    </w:p>
    <w:p>
      <w:pPr>
        <w:ind w:left="80" w:firstLine="1305"/>
        <w:spacing w:after="0" w:line="263" w:lineRule="auto"/>
        <w:tabs>
          <w:tab w:leader="none" w:pos="1931" w:val="left"/>
        </w:tabs>
        <w:numPr>
          <w:ilvl w:val="0"/>
          <w:numId w:val="214"/>
        </w:numPr>
        <w:rPr>
          <w:rFonts w:ascii="Arial" w:cs="Arial" w:eastAsia="Arial" w:hAnsi="Arial"/>
          <w:sz w:val="22"/>
          <w:szCs w:val="22"/>
          <w:b w:val="1"/>
          <w:bCs w:val="1"/>
          <w:color w:val="auto"/>
        </w:rPr>
      </w:pPr>
      <w:r>
        <w:rPr>
          <w:rFonts w:ascii="Arial" w:cs="Arial" w:eastAsia="Arial" w:hAnsi="Arial"/>
          <w:sz w:val="22"/>
          <w:szCs w:val="22"/>
          <w:color w:val="auto"/>
        </w:rPr>
        <w:t>18 months following the date of the Participant’s death if such death occurs following the date of such termination but during the period such Award is otherwise exercisable (as provided in (i) or (ii) above).</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36" w:lineRule="exact"/>
        <w:rPr>
          <w:sz w:val="20"/>
          <w:szCs w:val="20"/>
          <w:color w:val="auto"/>
        </w:rPr>
      </w:pPr>
    </w:p>
    <w:p>
      <w:pPr>
        <w:jc w:val="both"/>
        <w:ind w:firstLine="656"/>
        <w:spacing w:after="0" w:line="287" w:lineRule="auto"/>
        <w:tabs>
          <w:tab w:leader="none" w:pos="1284" w:val="left"/>
        </w:tabs>
        <w:numPr>
          <w:ilvl w:val="0"/>
          <w:numId w:val="2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Exercise; Extension of Exercisability. </w:t>
      </w:r>
      <w:r>
        <w:rPr>
          <w:rFonts w:ascii="Arial" w:cs="Arial" w:eastAsia="Arial" w:hAnsi="Arial"/>
          <w:sz w:val="19"/>
          <w:szCs w:val="19"/>
          <w:color w:val="auto"/>
        </w:rPr>
        <w:t>A Participant may not exercise an Option or SAR at any</w:t>
      </w:r>
      <w:r>
        <w:rPr>
          <w:rFonts w:ascii="Arial" w:cs="Arial" w:eastAsia="Arial" w:hAnsi="Arial"/>
          <w:sz w:val="19"/>
          <w:szCs w:val="19"/>
          <w:b w:val="1"/>
          <w:bCs w:val="1"/>
          <w:color w:val="auto"/>
        </w:rPr>
        <w:t xml:space="preserve"> </w:t>
      </w:r>
      <w:r>
        <w:rPr>
          <w:rFonts w:ascii="Arial" w:cs="Arial" w:eastAsia="Arial" w:hAnsi="Arial"/>
          <w:sz w:val="19"/>
          <w:szCs w:val="19"/>
          <w:color w:val="auto"/>
        </w:rPr>
        <w:t>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58" w:lineRule="exact"/>
        <w:rPr>
          <w:rFonts w:ascii="Arial" w:cs="Arial" w:eastAsia="Arial" w:hAnsi="Arial"/>
          <w:sz w:val="19"/>
          <w:szCs w:val="19"/>
          <w:b w:val="1"/>
          <w:bCs w:val="1"/>
          <w:color w:val="auto"/>
        </w:rPr>
      </w:pPr>
    </w:p>
    <w:p>
      <w:pPr>
        <w:jc w:val="both"/>
        <w:ind w:firstLine="656"/>
        <w:spacing w:after="0" w:line="267" w:lineRule="auto"/>
        <w:tabs>
          <w:tab w:leader="none" w:pos="1296" w:val="left"/>
        </w:tabs>
        <w:numPr>
          <w:ilvl w:val="0"/>
          <w:numId w:val="2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Non-Exempt Employees. </w:t>
      </w:r>
      <w:r>
        <w:rPr>
          <w:rFonts w:ascii="Arial" w:cs="Arial" w:eastAsia="Arial" w:hAnsi="Arial"/>
          <w:sz w:val="21"/>
          <w:szCs w:val="21"/>
          <w:color w:val="auto"/>
        </w:rPr>
        <w:t>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271" w:name="page272"/>
    <w:bookmarkEnd w:id="271"/>
    <w:p>
      <w:pPr>
        <w:jc w:val="both"/>
        <w:spacing w:after="0" w:line="294" w:lineRule="auto"/>
        <w:rPr>
          <w:sz w:val="20"/>
          <w:szCs w:val="20"/>
          <w:color w:val="auto"/>
        </w:rPr>
      </w:pPr>
      <w:r>
        <w:rPr>
          <w:rFonts w:ascii="Arial" w:cs="Arial" w:eastAsia="Arial" w:hAnsi="Arial"/>
          <w:sz w:val="19"/>
          <w:szCs w:val="19"/>
          <w:color w:val="auto"/>
        </w:rPr>
        <w:t>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their regular rate of pay.</w:t>
      </w:r>
    </w:p>
    <w:p>
      <w:pPr>
        <w:spacing w:after="0" w:line="143" w:lineRule="exact"/>
        <w:rPr>
          <w:sz w:val="20"/>
          <w:szCs w:val="20"/>
          <w:color w:val="auto"/>
        </w:rPr>
      </w:pPr>
    </w:p>
    <w:p>
      <w:pPr>
        <w:ind w:left="1300" w:hanging="644"/>
        <w:spacing w:after="0"/>
        <w:tabs>
          <w:tab w:leader="none" w:pos="1300" w:val="left"/>
        </w:tabs>
        <w:numPr>
          <w:ilvl w:val="1"/>
          <w:numId w:val="2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Whole Shares. </w:t>
      </w:r>
      <w:r>
        <w:rPr>
          <w:rFonts w:ascii="Arial" w:cs="Arial" w:eastAsia="Arial" w:hAnsi="Arial"/>
          <w:sz w:val="19"/>
          <w:szCs w:val="19"/>
          <w:color w:val="auto"/>
        </w:rPr>
        <w:t>Options and SARs may be exercised only with respect to whole shares of Common Stock or their</w:t>
      </w:r>
    </w:p>
    <w:p>
      <w:pPr>
        <w:spacing w:after="0" w:line="6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equivalents.</w:t>
      </w:r>
    </w:p>
    <w:p>
      <w:pPr>
        <w:spacing w:after="0" w:line="195" w:lineRule="exact"/>
        <w:rPr>
          <w:rFonts w:ascii="Arial" w:cs="Arial" w:eastAsia="Arial" w:hAnsi="Arial"/>
          <w:sz w:val="19"/>
          <w:szCs w:val="19"/>
          <w:b w:val="1"/>
          <w:bCs w:val="1"/>
          <w:color w:val="auto"/>
        </w:rPr>
      </w:pPr>
    </w:p>
    <w:p>
      <w:pPr>
        <w:ind w:left="660" w:hanging="652"/>
        <w:spacing w:after="0"/>
        <w:tabs>
          <w:tab w:leader="none" w:pos="660" w:val="left"/>
        </w:tabs>
        <w:numPr>
          <w:ilvl w:val="0"/>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Awards Other Than Options and Stock Appreciation Rights.</w:t>
      </w:r>
    </w:p>
    <w:p>
      <w:pPr>
        <w:spacing w:after="0" w:line="219" w:lineRule="exact"/>
        <w:rPr>
          <w:rFonts w:ascii="Arial" w:cs="Arial" w:eastAsia="Arial" w:hAnsi="Arial"/>
          <w:sz w:val="22"/>
          <w:szCs w:val="22"/>
          <w:b w:val="1"/>
          <w:bCs w:val="1"/>
          <w:color w:val="auto"/>
        </w:rPr>
      </w:pPr>
    </w:p>
    <w:p>
      <w:pPr>
        <w:jc w:val="both"/>
        <w:ind w:firstLine="656"/>
        <w:spacing w:after="0" w:line="252" w:lineRule="auto"/>
        <w:tabs>
          <w:tab w:leader="none" w:pos="1291" w:val="left"/>
        </w:tabs>
        <w:numPr>
          <w:ilvl w:val="1"/>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Restricted Stock Awards and RSU Awards. </w:t>
      </w:r>
      <w:r>
        <w:rPr>
          <w:rFonts w:ascii="Arial" w:cs="Arial" w:eastAsia="Arial" w:hAnsi="Arial"/>
          <w:sz w:val="22"/>
          <w:szCs w:val="22"/>
          <w:color w:val="auto"/>
        </w:rPr>
        <w:t>Each Restricted Stock Award and RSU Award will have such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79" w:lineRule="exact"/>
        <w:rPr>
          <w:rFonts w:ascii="Arial" w:cs="Arial" w:eastAsia="Arial" w:hAnsi="Arial"/>
          <w:sz w:val="22"/>
          <w:szCs w:val="22"/>
          <w:b w:val="1"/>
          <w:bCs w:val="1"/>
          <w:color w:val="auto"/>
        </w:rPr>
      </w:pPr>
    </w:p>
    <w:p>
      <w:pPr>
        <w:ind w:left="1940" w:hanging="555"/>
        <w:spacing w:after="0"/>
        <w:tabs>
          <w:tab w:leader="none" w:pos="1940" w:val="left"/>
        </w:tabs>
        <w:numPr>
          <w:ilvl w:val="2"/>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Form of Award.</w:t>
      </w:r>
    </w:p>
    <w:p>
      <w:pPr>
        <w:spacing w:after="0" w:line="219" w:lineRule="exact"/>
        <w:rPr>
          <w:rFonts w:ascii="Arial" w:cs="Arial" w:eastAsia="Arial" w:hAnsi="Arial"/>
          <w:sz w:val="22"/>
          <w:szCs w:val="22"/>
          <w:b w:val="1"/>
          <w:bCs w:val="1"/>
          <w:color w:val="auto"/>
        </w:rPr>
      </w:pPr>
    </w:p>
    <w:p>
      <w:pPr>
        <w:jc w:val="both"/>
        <w:ind w:firstLine="1952"/>
        <w:spacing w:after="0" w:line="298" w:lineRule="auto"/>
        <w:tabs>
          <w:tab w:leader="none" w:pos="2587" w:val="left"/>
        </w:tabs>
        <w:numPr>
          <w:ilvl w:val="3"/>
          <w:numId w:val="217"/>
        </w:numPr>
        <w:rPr>
          <w:rFonts w:ascii="Arial" w:cs="Arial" w:eastAsia="Arial" w:hAnsi="Arial"/>
          <w:sz w:val="19"/>
          <w:szCs w:val="19"/>
          <w:b w:val="1"/>
          <w:bCs w:val="1"/>
          <w:color w:val="auto"/>
        </w:rPr>
      </w:pPr>
      <w:r>
        <w:rPr>
          <w:rFonts w:ascii="Arial" w:cs="Arial" w:eastAsia="Arial" w:hAnsi="Arial"/>
          <w:sz w:val="19"/>
          <w:szCs w:val="19"/>
          <w:b w:val="1"/>
          <w:bCs w:val="1"/>
          <w:color w:val="auto"/>
        </w:rPr>
        <w:t>RSAs</w:t>
      </w:r>
      <w:r>
        <w:rPr>
          <w:rFonts w:ascii="Arial" w:cs="Arial" w:eastAsia="Arial" w:hAnsi="Arial"/>
          <w:sz w:val="19"/>
          <w:szCs w:val="19"/>
          <w:color w:val="auto"/>
        </w:rPr>
        <w:t>. To the extent consistent with the Company’s Bylaws, at the Board’s election,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42" w:lineRule="exact"/>
        <w:rPr>
          <w:rFonts w:ascii="Arial" w:cs="Arial" w:eastAsia="Arial" w:hAnsi="Arial"/>
          <w:sz w:val="19"/>
          <w:szCs w:val="19"/>
          <w:b w:val="1"/>
          <w:bCs w:val="1"/>
          <w:color w:val="auto"/>
        </w:rPr>
      </w:pPr>
    </w:p>
    <w:p>
      <w:pPr>
        <w:jc w:val="both"/>
        <w:ind w:firstLine="1952"/>
        <w:spacing w:after="0" w:line="247" w:lineRule="auto"/>
        <w:tabs>
          <w:tab w:leader="none" w:pos="2587" w:val="left"/>
        </w:tabs>
        <w:numPr>
          <w:ilvl w:val="3"/>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RSUs</w:t>
      </w:r>
      <w:r>
        <w:rPr>
          <w:rFonts w:ascii="Arial" w:cs="Arial" w:eastAsia="Arial" w:hAnsi="Arial"/>
          <w:sz w:val="22"/>
          <w:szCs w:val="22"/>
          <w:color w:val="auto"/>
        </w:rPr>
        <w:t>. An RSU Award represents a Participant’s right to be issued on a future date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85" w:lineRule="exact"/>
        <w:rPr>
          <w:rFonts w:ascii="Arial" w:cs="Arial" w:eastAsia="Arial" w:hAnsi="Arial"/>
          <w:sz w:val="22"/>
          <w:szCs w:val="22"/>
          <w:b w:val="1"/>
          <w:bCs w:val="1"/>
          <w:color w:val="auto"/>
        </w:rPr>
      </w:pPr>
    </w:p>
    <w:p>
      <w:pPr>
        <w:ind w:left="1940" w:hanging="555"/>
        <w:spacing w:after="0"/>
        <w:tabs>
          <w:tab w:leader="none" w:pos="1940" w:val="left"/>
        </w:tabs>
        <w:numPr>
          <w:ilvl w:val="2"/>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Consideration.</w:t>
      </w:r>
    </w:p>
    <w:p>
      <w:pPr>
        <w:spacing w:after="0" w:line="219" w:lineRule="exact"/>
        <w:rPr>
          <w:rFonts w:ascii="Arial" w:cs="Arial" w:eastAsia="Arial" w:hAnsi="Arial"/>
          <w:sz w:val="22"/>
          <w:szCs w:val="22"/>
          <w:b w:val="1"/>
          <w:bCs w:val="1"/>
          <w:color w:val="auto"/>
        </w:rPr>
      </w:pPr>
    </w:p>
    <w:p>
      <w:pPr>
        <w:ind w:right="20" w:firstLine="1952"/>
        <w:spacing w:after="0" w:line="269" w:lineRule="auto"/>
        <w:tabs>
          <w:tab w:leader="none" w:pos="2587" w:val="left"/>
        </w:tabs>
        <w:numPr>
          <w:ilvl w:val="3"/>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RSA</w:t>
      </w:r>
      <w:r>
        <w:rPr>
          <w:rFonts w:ascii="Arial" w:cs="Arial" w:eastAsia="Arial" w:hAnsi="Arial"/>
          <w:sz w:val="22"/>
          <w:szCs w:val="22"/>
          <w:color w:val="auto"/>
        </w:rPr>
        <w:t>. A Restricted Stock Award may be granted in consideration for (A) cash or check, bank draft</w:t>
      </w:r>
      <w:r>
        <w:rPr>
          <w:rFonts w:ascii="Arial" w:cs="Arial" w:eastAsia="Arial" w:hAnsi="Arial"/>
          <w:sz w:val="22"/>
          <w:szCs w:val="22"/>
          <w:b w:val="1"/>
          <w:bCs w:val="1"/>
          <w:color w:val="auto"/>
        </w:rPr>
        <w:t xml:space="preserve"> </w:t>
      </w:r>
      <w:r>
        <w:rPr>
          <w:rFonts w:ascii="Arial" w:cs="Arial" w:eastAsia="Arial" w:hAnsi="Arial"/>
          <w:sz w:val="22"/>
          <w:szCs w:val="22"/>
          <w:color w:val="auto"/>
        </w:rPr>
        <w:t>or money order payable to the Company, (B) past services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72" w:name="page273"/>
    <w:bookmarkEnd w:id="272"/>
    <w:p>
      <w:pPr>
        <w:spacing w:after="0" w:line="263" w:lineRule="auto"/>
        <w:rPr>
          <w:sz w:val="20"/>
          <w:szCs w:val="20"/>
          <w:color w:val="auto"/>
        </w:rPr>
      </w:pPr>
      <w:r>
        <w:rPr>
          <w:rFonts w:ascii="Arial" w:cs="Arial" w:eastAsia="Arial" w:hAnsi="Arial"/>
          <w:sz w:val="22"/>
          <w:szCs w:val="22"/>
          <w:color w:val="auto"/>
        </w:rPr>
        <w:t>the Company or an Affiliate, or (C) any other form of consideration (including future services) as the Board may determine and permissible under Applicable Law.</w:t>
      </w:r>
    </w:p>
    <w:p>
      <w:pPr>
        <w:spacing w:after="0" w:line="169" w:lineRule="exact"/>
        <w:rPr>
          <w:sz w:val="20"/>
          <w:szCs w:val="20"/>
          <w:color w:val="auto"/>
        </w:rPr>
      </w:pPr>
    </w:p>
    <w:p>
      <w:pPr>
        <w:jc w:val="both"/>
        <w:ind w:firstLine="1952"/>
        <w:spacing w:after="0" w:line="293" w:lineRule="auto"/>
        <w:tabs>
          <w:tab w:leader="none" w:pos="2587" w:val="left"/>
        </w:tabs>
        <w:numPr>
          <w:ilvl w:val="2"/>
          <w:numId w:val="218"/>
        </w:numPr>
        <w:rPr>
          <w:rFonts w:ascii="Arial" w:cs="Arial" w:eastAsia="Arial" w:hAnsi="Arial"/>
          <w:sz w:val="19"/>
          <w:szCs w:val="19"/>
          <w:b w:val="1"/>
          <w:bCs w:val="1"/>
          <w:color w:val="auto"/>
        </w:rPr>
      </w:pPr>
      <w:r>
        <w:rPr>
          <w:rFonts w:ascii="Arial" w:cs="Arial" w:eastAsia="Arial" w:hAnsi="Arial"/>
          <w:sz w:val="19"/>
          <w:szCs w:val="19"/>
          <w:b w:val="1"/>
          <w:bCs w:val="1"/>
          <w:color w:val="auto"/>
        </w:rPr>
        <w:t>RSU</w:t>
      </w:r>
      <w:r>
        <w:rPr>
          <w:rFonts w:ascii="Arial" w:cs="Arial" w:eastAsia="Arial" w:hAnsi="Arial"/>
          <w:sz w:val="19"/>
          <w:szCs w:val="19"/>
          <w:color w:val="auto"/>
        </w:rPr>
        <w:t>. Unless otherwise determined by the Board at the time of grant, an RSU Award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44" w:lineRule="exact"/>
        <w:rPr>
          <w:rFonts w:ascii="Arial" w:cs="Arial" w:eastAsia="Arial" w:hAnsi="Arial"/>
          <w:sz w:val="19"/>
          <w:szCs w:val="19"/>
          <w:b w:val="1"/>
          <w:bCs w:val="1"/>
          <w:color w:val="auto"/>
        </w:rPr>
      </w:pPr>
    </w:p>
    <w:p>
      <w:pPr>
        <w:jc w:val="both"/>
        <w:ind w:left="80" w:right="20" w:firstLine="1305"/>
        <w:spacing w:after="0" w:line="252" w:lineRule="auto"/>
        <w:tabs>
          <w:tab w:leader="none" w:pos="1943" w:val="left"/>
        </w:tabs>
        <w:numPr>
          <w:ilvl w:val="1"/>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The Board may impose such restrictions on or conditions to the vesting of a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9" w:lineRule="exact"/>
        <w:rPr>
          <w:rFonts w:ascii="Arial" w:cs="Arial" w:eastAsia="Arial" w:hAnsi="Arial"/>
          <w:sz w:val="22"/>
          <w:szCs w:val="22"/>
          <w:b w:val="1"/>
          <w:bCs w:val="1"/>
          <w:color w:val="auto"/>
        </w:rPr>
      </w:pPr>
    </w:p>
    <w:p>
      <w:pPr>
        <w:jc w:val="both"/>
        <w:ind w:left="80" w:firstLine="1305"/>
        <w:spacing w:after="0" w:line="293" w:lineRule="auto"/>
        <w:tabs>
          <w:tab w:leader="none" w:pos="1931" w:val="left"/>
        </w:tabs>
        <w:numPr>
          <w:ilvl w:val="1"/>
          <w:numId w:val="21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Continuous Service. </w:t>
      </w:r>
      <w:r>
        <w:rPr>
          <w:rFonts w:ascii="Arial" w:cs="Arial" w:eastAsia="Arial" w:hAnsi="Arial"/>
          <w:sz w:val="19"/>
          <w:szCs w:val="19"/>
          <w:color w:val="auto"/>
        </w:rPr>
        <w:t>Except as otherwise provided in the Award Agreement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agreement between a Participant and the Company or an Affiliate, if a Participant’s Continuous Service terminates for any reason, (1) the Company may receive through a forfeiture condition or a repurchase right any or all of the shares of Common Stock held by the Participant under their Restricted Stock Award that have not vested as of the date of such termination as set forth in the Restricted Stock Award Agreement and (2) any portion of their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44" w:lineRule="exact"/>
        <w:rPr>
          <w:rFonts w:ascii="Arial" w:cs="Arial" w:eastAsia="Arial" w:hAnsi="Arial"/>
          <w:sz w:val="19"/>
          <w:szCs w:val="19"/>
          <w:b w:val="1"/>
          <w:bCs w:val="1"/>
          <w:color w:val="auto"/>
        </w:rPr>
      </w:pPr>
    </w:p>
    <w:p>
      <w:pPr>
        <w:jc w:val="both"/>
        <w:ind w:left="80" w:firstLine="1305"/>
        <w:spacing w:after="0" w:line="256" w:lineRule="auto"/>
        <w:tabs>
          <w:tab w:leader="none" w:pos="1938" w:val="left"/>
        </w:tabs>
        <w:numPr>
          <w:ilvl w:val="1"/>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and Dividend Equivalents. </w:t>
      </w:r>
      <w:r>
        <w:rPr>
          <w:rFonts w:ascii="Arial" w:cs="Arial" w:eastAsia="Arial" w:hAnsi="Arial"/>
          <w:sz w:val="22"/>
          <w:szCs w:val="22"/>
          <w:color w:val="auto"/>
        </w:rPr>
        <w:t>Dividends or dividend equivalents may be paid or credited,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with respect to any shares of Common Stock subject to a Restricted Stock Award or RSU Award, as determined by the Board and specified in the Award Agreement).</w:t>
      </w:r>
    </w:p>
    <w:p>
      <w:pPr>
        <w:spacing w:after="0" w:line="176" w:lineRule="exact"/>
        <w:rPr>
          <w:rFonts w:ascii="Arial" w:cs="Arial" w:eastAsia="Arial" w:hAnsi="Arial"/>
          <w:sz w:val="22"/>
          <w:szCs w:val="22"/>
          <w:b w:val="1"/>
          <w:bCs w:val="1"/>
          <w:color w:val="auto"/>
        </w:rPr>
      </w:pPr>
    </w:p>
    <w:p>
      <w:pPr>
        <w:jc w:val="both"/>
        <w:ind w:left="80" w:firstLine="1305"/>
        <w:spacing w:after="0" w:line="252" w:lineRule="auto"/>
        <w:tabs>
          <w:tab w:leader="none" w:pos="1931" w:val="left"/>
        </w:tabs>
        <w:numPr>
          <w:ilvl w:val="1"/>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RSU Awards</w:t>
      </w:r>
      <w:r>
        <w:rPr>
          <w:rFonts w:ascii="Arial" w:cs="Arial" w:eastAsia="Arial" w:hAnsi="Arial"/>
          <w:sz w:val="22"/>
          <w:szCs w:val="22"/>
          <w:color w:val="auto"/>
        </w:rPr>
        <w:t>. An RSU Award may be settled by the issuance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9" w:lineRule="exact"/>
        <w:rPr>
          <w:rFonts w:ascii="Arial" w:cs="Arial" w:eastAsia="Arial" w:hAnsi="Arial"/>
          <w:sz w:val="22"/>
          <w:szCs w:val="22"/>
          <w:b w:val="1"/>
          <w:bCs w:val="1"/>
          <w:color w:val="auto"/>
        </w:rPr>
      </w:pPr>
    </w:p>
    <w:p>
      <w:pPr>
        <w:jc w:val="both"/>
        <w:ind w:firstLine="656"/>
        <w:spacing w:after="0" w:line="315" w:lineRule="auto"/>
        <w:tabs>
          <w:tab w:leader="none" w:pos="1290" w:val="left"/>
        </w:tabs>
        <w:numPr>
          <w:ilvl w:val="0"/>
          <w:numId w:val="220"/>
        </w:numPr>
        <w:rPr>
          <w:rFonts w:ascii="Arial" w:cs="Arial" w:eastAsia="Arial" w:hAnsi="Arial"/>
          <w:sz w:val="19"/>
          <w:szCs w:val="19"/>
          <w:b w:val="1"/>
          <w:bCs w:val="1"/>
          <w:color w:val="auto"/>
        </w:rPr>
      </w:pPr>
      <w:r>
        <w:rPr>
          <w:rFonts w:ascii="Arial" w:cs="Arial" w:eastAsia="Arial" w:hAnsi="Arial"/>
          <w:sz w:val="19"/>
          <w:szCs w:val="19"/>
          <w:b w:val="1"/>
          <w:bCs w:val="1"/>
          <w:color w:val="auto"/>
        </w:rPr>
        <w:t>Performance Awards</w:t>
      </w:r>
      <w:r>
        <w:rPr>
          <w:rFonts w:ascii="Arial" w:cs="Arial" w:eastAsia="Arial" w:hAnsi="Arial"/>
          <w:sz w:val="19"/>
          <w:szCs w:val="19"/>
          <w:color w:val="auto"/>
        </w:rPr>
        <w:t>. With respect to any Performance Award, the length of any Performance Period,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Goals to be achieved during the Performance Period, the other terms and conditions of such Award, and the measure of whether and to what degree such Performance Goals have been attained will be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273" w:name="page274"/>
    <w:bookmarkEnd w:id="273"/>
    <w:p>
      <w:pPr>
        <w:jc w:val="both"/>
        <w:ind w:firstLine="656"/>
        <w:spacing w:after="0" w:line="261" w:lineRule="auto"/>
        <w:tabs>
          <w:tab w:leader="none" w:pos="1293" w:val="left"/>
        </w:tabs>
        <w:numPr>
          <w:ilvl w:val="1"/>
          <w:numId w:val="221"/>
        </w:numPr>
        <w:rPr>
          <w:rFonts w:ascii="Arial" w:cs="Arial" w:eastAsia="Arial" w:hAnsi="Arial"/>
          <w:sz w:val="21"/>
          <w:szCs w:val="21"/>
          <w:b w:val="1"/>
          <w:bCs w:val="1"/>
          <w:color w:val="auto"/>
        </w:rPr>
      </w:pPr>
      <w:r>
        <w:rPr>
          <w:rFonts w:ascii="Arial" w:cs="Arial" w:eastAsia="Arial" w:hAnsi="Arial"/>
          <w:sz w:val="21"/>
          <w:szCs w:val="21"/>
          <w:b w:val="1"/>
          <w:bCs w:val="1"/>
          <w:color w:val="auto"/>
        </w:rPr>
        <w:t>Other Awards</w:t>
      </w:r>
      <w:r>
        <w:rPr>
          <w:rFonts w:ascii="Arial" w:cs="Arial" w:eastAsia="Arial" w:hAnsi="Arial"/>
          <w:sz w:val="21"/>
          <w:szCs w:val="21"/>
          <w:color w:val="auto"/>
        </w:rPr>
        <w:t>. Other forms of Awards valued in whole or in part by reference to, or otherwise based on,</w:t>
      </w:r>
      <w:r>
        <w:rPr>
          <w:rFonts w:ascii="Arial" w:cs="Arial" w:eastAsia="Arial" w:hAnsi="Arial"/>
          <w:sz w:val="21"/>
          <w:szCs w:val="21"/>
          <w:b w:val="1"/>
          <w:bCs w:val="1"/>
          <w:color w:val="auto"/>
        </w:rPr>
        <w:t xml:space="preserve"> </w:t>
      </w:r>
      <w:r>
        <w:rPr>
          <w:rFonts w:ascii="Arial" w:cs="Arial" w:eastAsia="Arial" w:hAnsi="Arial"/>
          <w:sz w:val="21"/>
          <w:szCs w:val="21"/>
          <w:color w:val="auto"/>
        </w:rPr>
        <w:t>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73" w:lineRule="exact"/>
        <w:rPr>
          <w:rFonts w:ascii="Arial" w:cs="Arial" w:eastAsia="Arial" w:hAnsi="Arial"/>
          <w:sz w:val="21"/>
          <w:szCs w:val="21"/>
          <w:b w:val="1"/>
          <w:bCs w:val="1"/>
          <w:color w:val="auto"/>
        </w:rPr>
      </w:pPr>
    </w:p>
    <w:p>
      <w:pPr>
        <w:ind w:left="660" w:hanging="652"/>
        <w:spacing w:after="0"/>
        <w:tabs>
          <w:tab w:leader="none" w:pos="660" w:val="left"/>
        </w:tabs>
        <w:numPr>
          <w:ilvl w:val="0"/>
          <w:numId w:val="222"/>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 upon Changes in Common Stock; Other Corporate Events.</w:t>
      </w:r>
    </w:p>
    <w:p>
      <w:pPr>
        <w:spacing w:after="0" w:line="219" w:lineRule="exact"/>
        <w:rPr>
          <w:rFonts w:ascii="Arial" w:cs="Arial" w:eastAsia="Arial" w:hAnsi="Arial"/>
          <w:sz w:val="22"/>
          <w:szCs w:val="22"/>
          <w:b w:val="1"/>
          <w:bCs w:val="1"/>
          <w:color w:val="auto"/>
        </w:rPr>
      </w:pPr>
    </w:p>
    <w:p>
      <w:pPr>
        <w:jc w:val="both"/>
        <w:ind w:firstLine="656"/>
        <w:spacing w:after="0" w:line="290" w:lineRule="auto"/>
        <w:tabs>
          <w:tab w:leader="none" w:pos="1291" w:val="left"/>
        </w:tabs>
        <w:numPr>
          <w:ilvl w:val="1"/>
          <w:numId w:val="222"/>
        </w:numPr>
        <w:rPr>
          <w:rFonts w:ascii="Arial" w:cs="Arial" w:eastAsia="Arial" w:hAnsi="Arial"/>
          <w:sz w:val="19"/>
          <w:szCs w:val="19"/>
          <w:b w:val="1"/>
          <w:bCs w:val="1"/>
          <w:color w:val="auto"/>
        </w:rPr>
      </w:pPr>
      <w:r>
        <w:rPr>
          <w:rFonts w:ascii="Arial" w:cs="Arial" w:eastAsia="Arial" w:hAnsi="Arial"/>
          <w:sz w:val="19"/>
          <w:szCs w:val="19"/>
          <w:b w:val="1"/>
          <w:bCs w:val="1"/>
          <w:color w:val="auto"/>
        </w:rPr>
        <w:t>Capitalization Adjustments</w:t>
      </w:r>
      <w:r>
        <w:rPr>
          <w:rFonts w:ascii="Arial" w:cs="Arial" w:eastAsia="Arial" w:hAnsi="Arial"/>
          <w:sz w:val="19"/>
          <w:szCs w:val="19"/>
          <w:color w:val="auto"/>
        </w:rPr>
        <w:t>. In the event of a Capitalization Adjustment, the Board shall appropriately and</w:t>
      </w:r>
      <w:r>
        <w:rPr>
          <w:rFonts w:ascii="Arial" w:cs="Arial" w:eastAsia="Arial" w:hAnsi="Arial"/>
          <w:sz w:val="19"/>
          <w:szCs w:val="19"/>
          <w:b w:val="1"/>
          <w:bCs w:val="1"/>
          <w:color w:val="auto"/>
        </w:rPr>
        <w:t xml:space="preserve"> </w:t>
      </w:r>
      <w:r>
        <w:rPr>
          <w:rFonts w:ascii="Arial" w:cs="Arial" w:eastAsia="Arial" w:hAnsi="Arial"/>
          <w:sz w:val="19"/>
          <w:szCs w:val="19"/>
          <w:color w:val="auto"/>
        </w:rPr>
        <w:t>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48" w:lineRule="exact"/>
        <w:rPr>
          <w:rFonts w:ascii="Arial" w:cs="Arial" w:eastAsia="Arial" w:hAnsi="Arial"/>
          <w:sz w:val="19"/>
          <w:szCs w:val="19"/>
          <w:b w:val="1"/>
          <w:bCs w:val="1"/>
          <w:color w:val="auto"/>
        </w:rPr>
      </w:pPr>
    </w:p>
    <w:p>
      <w:pPr>
        <w:jc w:val="both"/>
        <w:ind w:firstLine="656"/>
        <w:spacing w:after="0" w:line="291" w:lineRule="auto"/>
        <w:tabs>
          <w:tab w:leader="none" w:pos="1290" w:val="left"/>
        </w:tabs>
        <w:numPr>
          <w:ilvl w:val="1"/>
          <w:numId w:val="222"/>
        </w:numPr>
        <w:rPr>
          <w:rFonts w:ascii="Arial" w:cs="Arial" w:eastAsia="Arial" w:hAnsi="Arial"/>
          <w:sz w:val="19"/>
          <w:szCs w:val="19"/>
          <w:b w:val="1"/>
          <w:bCs w:val="1"/>
          <w:color w:val="auto"/>
        </w:rPr>
      </w:pPr>
      <w:r>
        <w:rPr>
          <w:rFonts w:ascii="Arial" w:cs="Arial" w:eastAsia="Arial" w:hAnsi="Arial"/>
          <w:sz w:val="19"/>
          <w:szCs w:val="19"/>
          <w:b w:val="1"/>
          <w:bCs w:val="1"/>
          <w:color w:val="auto"/>
        </w:rPr>
        <w:t>Dissolution or Liquidation</w:t>
      </w:r>
      <w:r>
        <w:rPr>
          <w:rFonts w:ascii="Arial" w:cs="Arial" w:eastAsia="Arial" w:hAnsi="Arial"/>
          <w:sz w:val="19"/>
          <w:szCs w:val="19"/>
          <w:color w:val="auto"/>
        </w:rPr>
        <w:t>. Except as otherwise provided in the Award Agreement, in the event of a dissolution</w:t>
      </w:r>
      <w:r>
        <w:rPr>
          <w:rFonts w:ascii="Arial" w:cs="Arial" w:eastAsia="Arial" w:hAnsi="Arial"/>
          <w:sz w:val="19"/>
          <w:szCs w:val="19"/>
          <w:b w:val="1"/>
          <w:bCs w:val="1"/>
          <w:color w:val="auto"/>
        </w:rPr>
        <w:t xml:space="preserve"> </w:t>
      </w:r>
      <w:r>
        <w:rPr>
          <w:rFonts w:ascii="Arial" w:cs="Arial" w:eastAsia="Arial" w:hAnsi="Arial"/>
          <w:sz w:val="19"/>
          <w:szCs w:val="19"/>
          <w:color w:val="auto"/>
        </w:rPr>
        <w:t>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48" w:lineRule="exact"/>
        <w:rPr>
          <w:rFonts w:ascii="Arial" w:cs="Arial" w:eastAsia="Arial" w:hAnsi="Arial"/>
          <w:sz w:val="19"/>
          <w:szCs w:val="19"/>
          <w:b w:val="1"/>
          <w:bCs w:val="1"/>
          <w:color w:val="auto"/>
        </w:rPr>
      </w:pPr>
    </w:p>
    <w:p>
      <w:pPr>
        <w:jc w:val="both"/>
        <w:ind w:firstLine="656"/>
        <w:spacing w:after="0" w:line="252" w:lineRule="auto"/>
        <w:tabs>
          <w:tab w:leader="none" w:pos="1293" w:val="left"/>
        </w:tabs>
        <w:numPr>
          <w:ilvl w:val="1"/>
          <w:numId w:val="2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Corporate Transaction. </w:t>
      </w:r>
      <w:r>
        <w:rPr>
          <w:rFonts w:ascii="Arial" w:cs="Arial" w:eastAsia="Arial" w:hAnsi="Arial"/>
          <w:sz w:val="22"/>
          <w:szCs w:val="22"/>
          <w:color w:val="auto"/>
        </w:rPr>
        <w:t>The following provisions will apply to Awards in the event of a Corporate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set forth in 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179" w:lineRule="exact"/>
        <w:rPr>
          <w:rFonts w:ascii="Arial" w:cs="Arial" w:eastAsia="Arial" w:hAnsi="Arial"/>
          <w:sz w:val="22"/>
          <w:szCs w:val="22"/>
          <w:b w:val="1"/>
          <w:bCs w:val="1"/>
          <w:color w:val="auto"/>
        </w:rPr>
      </w:pPr>
    </w:p>
    <w:p>
      <w:pPr>
        <w:jc w:val="both"/>
        <w:ind w:left="80" w:firstLine="1305"/>
        <w:spacing w:after="0" w:line="256" w:lineRule="auto"/>
        <w:tabs>
          <w:tab w:leader="none" w:pos="1931" w:val="left"/>
        </w:tabs>
        <w:numPr>
          <w:ilvl w:val="2"/>
          <w:numId w:val="2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Awards May Be Assumed. </w:t>
      </w:r>
      <w:r>
        <w:rPr>
          <w:rFonts w:ascii="Arial" w:cs="Arial" w:eastAsia="Arial" w:hAnsi="Arial"/>
          <w:sz w:val="22"/>
          <w:szCs w:val="22"/>
          <w:color w:val="auto"/>
        </w:rPr>
        <w:t>In the event of a Corporate Transaction, any surviving or acquiring</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(or the surviving or acquiring corporation’s parent company) may assume or continue any or all Awards outstanding under the Plan or may substitute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2" w:right="339" w:bottom="1440" w:gutter="0" w:footer="0" w:header="0"/>
        </w:sectPr>
      </w:pPr>
    </w:p>
    <w:bookmarkStart w:id="274" w:name="page275"/>
    <w:bookmarkEnd w:id="274"/>
    <w:p>
      <w:pPr>
        <w:jc w:val="both"/>
        <w:spacing w:after="0" w:line="292" w:lineRule="auto"/>
        <w:rPr>
          <w:sz w:val="20"/>
          <w:szCs w:val="20"/>
          <w:color w:val="auto"/>
        </w:rPr>
      </w:pPr>
      <w:r>
        <w:rPr>
          <w:rFonts w:ascii="Arial" w:cs="Arial" w:eastAsia="Arial" w:hAnsi="Arial"/>
          <w:sz w:val="19"/>
          <w:szCs w:val="19"/>
          <w:color w:val="auto"/>
        </w:rPr>
        <w:t>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or acquiring corporation (or its applicable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45" w:lineRule="exact"/>
        <w:rPr>
          <w:sz w:val="20"/>
          <w:szCs w:val="20"/>
          <w:color w:val="auto"/>
        </w:rPr>
      </w:pPr>
    </w:p>
    <w:p>
      <w:pPr>
        <w:jc w:val="both"/>
        <w:ind w:firstLine="1305"/>
        <w:spacing w:after="0" w:line="285" w:lineRule="auto"/>
        <w:tabs>
          <w:tab w:leader="none" w:pos="1857" w:val="left"/>
        </w:tabs>
        <w:numPr>
          <w:ilvl w:val="0"/>
          <w:numId w:val="2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Awards Held by Current Participants. </w:t>
      </w:r>
      <w:r>
        <w:rPr>
          <w:rFonts w:ascii="Arial" w:cs="Arial" w:eastAsia="Arial" w:hAnsi="Arial"/>
          <w:sz w:val="19"/>
          <w:szCs w:val="19"/>
          <w:color w:val="auto"/>
        </w:rPr>
        <w:t>In the event of a Corporate Transaction in which the surviving or</w:t>
      </w:r>
      <w:r>
        <w:rPr>
          <w:rFonts w:ascii="Arial" w:cs="Arial" w:eastAsia="Arial" w:hAnsi="Arial"/>
          <w:sz w:val="19"/>
          <w:szCs w:val="19"/>
          <w:b w:val="1"/>
          <w:bCs w:val="1"/>
          <w:color w:val="auto"/>
        </w:rPr>
        <w:t xml:space="preserve"> </w:t>
      </w:r>
      <w:r>
        <w:rPr>
          <w:rFonts w:ascii="Arial" w:cs="Arial" w:eastAsia="Arial" w:hAnsi="Arial"/>
          <w:sz w:val="19"/>
          <w:szCs w:val="19"/>
          <w:color w:val="auto"/>
        </w:rPr>
        <w:t>acquiring corporation (or its parent company) does not assume or continue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9"/>
          <w:szCs w:val="19"/>
          <w:b w:val="1"/>
          <w:bCs w:val="1"/>
          <w:i w:val="1"/>
          <w:iCs w:val="1"/>
          <w:color w:val="auto"/>
        </w:rPr>
        <w:t>Current Participants</w:t>
      </w:r>
      <w:r>
        <w:rPr>
          <w:rFonts w:ascii="Arial" w:cs="Arial" w:eastAsia="Arial" w:hAnsi="Arial"/>
          <w:sz w:val="19"/>
          <w:szCs w:val="19"/>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that the Board determines (or, if the Board does not determine such a date, to the date that is five (5) days prior to the effective time of the Corporate Transaction). Awards so accelerated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(a) will accelerate upon the occurrence of a Corporate Transaction pursuant to this subsection (ii) and (b) have multiple vesting levels depending on the level of performance, unless otherwise provided in the Award Agreement or unless otherwise provided by the Board, the vesting of such Performance Awards will accelerate at 100% of the target level upon the occurrence of a Corporate Transaction in which the Awards are not assumed, continued or substituted for in accordance with Section 6(c)(i). With respect to the vesting of cash-settled Awards that will accelerate upon the occurrence of a Corporate Transaction pursuant to this subsection (ii), such cash payment will be made no later than 30 days following the occurrence of the Corporate Transaction or such later date as required by Section 409A of the Code. Notwithstanding the foregoing, an Award Agreement may specify, or the Board may determine, that a Performance Award that would otherwise accelerate upon the occurrence of a Corporate Transaction pursuant to this subsection (ii) may instead accelerate to a greater or lesser extent (or not at all) or may instead be subject to some other treatment, including cancellation of such Award for no consideration.</w:t>
      </w:r>
    </w:p>
    <w:p>
      <w:pPr>
        <w:spacing w:after="0" w:line="153" w:lineRule="exact"/>
        <w:rPr>
          <w:rFonts w:ascii="Arial" w:cs="Arial" w:eastAsia="Arial" w:hAnsi="Arial"/>
          <w:sz w:val="19"/>
          <w:szCs w:val="19"/>
          <w:b w:val="1"/>
          <w:bCs w:val="1"/>
          <w:color w:val="auto"/>
        </w:rPr>
      </w:pPr>
    </w:p>
    <w:p>
      <w:pPr>
        <w:jc w:val="both"/>
        <w:ind w:firstLine="1305"/>
        <w:spacing w:after="0" w:line="264" w:lineRule="auto"/>
        <w:tabs>
          <w:tab w:leader="none" w:pos="1863" w:val="left"/>
        </w:tabs>
        <w:numPr>
          <w:ilvl w:val="0"/>
          <w:numId w:val="22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Awards Held by Persons other than Current Participants. </w:t>
      </w:r>
      <w:r>
        <w:rPr>
          <w:rFonts w:ascii="Arial" w:cs="Arial" w:eastAsia="Arial" w:hAnsi="Arial"/>
          <w:sz w:val="21"/>
          <w:szCs w:val="21"/>
          <w:color w:val="auto"/>
        </w:rPr>
        <w:t>In the event of a Corporate Transaction in</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 surviving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60"/>
          </w:cols>
          <w:pgMar w:left="400" w:top="1428" w:right="339" w:bottom="1440" w:gutter="0" w:footer="0" w:header="0"/>
        </w:sectPr>
      </w:pPr>
    </w:p>
    <w:bookmarkStart w:id="275" w:name="page276"/>
    <w:bookmarkEnd w:id="275"/>
    <w:p>
      <w:pPr>
        <w:ind w:left="80"/>
        <w:spacing w:after="0" w:line="263" w:lineRule="auto"/>
        <w:rPr>
          <w:sz w:val="20"/>
          <w:szCs w:val="20"/>
          <w:color w:val="auto"/>
        </w:rPr>
      </w:pPr>
      <w:r>
        <w:rPr>
          <w:rFonts w:ascii="Arial" w:cs="Arial" w:eastAsia="Arial" w:hAnsi="Arial"/>
          <w:sz w:val="22"/>
          <w:szCs w:val="22"/>
          <w:color w:val="auto"/>
        </w:rPr>
        <w:t>provided, however, that any reacquisition or repurchase rights held by the Company with respect to such Awards will not terminate and may continue to be exercised notwithstanding the Corporate Transaction.</w:t>
      </w:r>
    </w:p>
    <w:p>
      <w:pPr>
        <w:spacing w:after="0" w:line="169" w:lineRule="exact"/>
        <w:rPr>
          <w:sz w:val="20"/>
          <w:szCs w:val="20"/>
          <w:color w:val="auto"/>
        </w:rPr>
      </w:pPr>
    </w:p>
    <w:p>
      <w:pPr>
        <w:jc w:val="both"/>
        <w:ind w:left="80" w:firstLine="1305"/>
        <w:spacing w:after="0" w:line="262" w:lineRule="auto"/>
        <w:tabs>
          <w:tab w:leader="none" w:pos="1931" w:val="left"/>
        </w:tabs>
        <w:numPr>
          <w:ilvl w:val="3"/>
          <w:numId w:val="22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Payment for Awards in Lieu of Exercise. </w:t>
      </w:r>
      <w:r>
        <w:rPr>
          <w:rFonts w:ascii="Arial" w:cs="Arial" w:eastAsia="Arial" w:hAnsi="Arial"/>
          <w:sz w:val="21"/>
          <w:szCs w:val="21"/>
          <w:color w:val="auto"/>
        </w:rPr>
        <w:t>Notwithstanding the foregoing, in the event an Award will</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3" w:lineRule="exact"/>
        <w:rPr>
          <w:rFonts w:ascii="Arial" w:cs="Arial" w:eastAsia="Arial" w:hAnsi="Arial"/>
          <w:sz w:val="21"/>
          <w:szCs w:val="21"/>
          <w:b w:val="1"/>
          <w:bCs w:val="1"/>
          <w:color w:val="auto"/>
        </w:rPr>
      </w:pPr>
    </w:p>
    <w:p>
      <w:pPr>
        <w:jc w:val="both"/>
        <w:ind w:firstLine="656"/>
        <w:spacing w:after="0" w:line="304" w:lineRule="auto"/>
        <w:tabs>
          <w:tab w:leader="none" w:pos="1290" w:val="left"/>
        </w:tabs>
        <w:numPr>
          <w:ilvl w:val="2"/>
          <w:numId w:val="22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Appointment of Stockholder Representative. </w:t>
      </w:r>
      <w:r>
        <w:rPr>
          <w:rFonts w:ascii="Arial" w:cs="Arial" w:eastAsia="Arial" w:hAnsi="Arial"/>
          <w:sz w:val="19"/>
          <w:szCs w:val="19"/>
          <w:color w:val="auto"/>
        </w:rPr>
        <w:t>As a condition to the receipt of an Award under this Plan,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35" w:lineRule="exact"/>
        <w:rPr>
          <w:rFonts w:ascii="Arial" w:cs="Arial" w:eastAsia="Arial" w:hAnsi="Arial"/>
          <w:sz w:val="19"/>
          <w:szCs w:val="19"/>
          <w:b w:val="1"/>
          <w:bCs w:val="1"/>
          <w:color w:val="auto"/>
        </w:rPr>
      </w:pPr>
    </w:p>
    <w:p>
      <w:pPr>
        <w:jc w:val="both"/>
        <w:ind w:firstLine="656"/>
        <w:spacing w:after="0" w:line="260" w:lineRule="auto"/>
        <w:tabs>
          <w:tab w:leader="none" w:pos="1293" w:val="left"/>
        </w:tabs>
        <w:numPr>
          <w:ilvl w:val="2"/>
          <w:numId w:val="225"/>
        </w:numPr>
        <w:rPr>
          <w:rFonts w:ascii="Arial" w:cs="Arial" w:eastAsia="Arial" w:hAnsi="Arial"/>
          <w:sz w:val="21"/>
          <w:szCs w:val="21"/>
          <w:b w:val="1"/>
          <w:bCs w:val="1"/>
          <w:color w:val="auto"/>
        </w:rPr>
      </w:pPr>
      <w:r>
        <w:rPr>
          <w:rFonts w:ascii="Arial" w:cs="Arial" w:eastAsia="Arial" w:hAnsi="Arial"/>
          <w:sz w:val="21"/>
          <w:szCs w:val="21"/>
          <w:b w:val="1"/>
          <w:bCs w:val="1"/>
          <w:color w:val="auto"/>
        </w:rPr>
        <w:t>No Restriction on Right to Undertake Transactions</w:t>
      </w:r>
      <w:r>
        <w:rPr>
          <w:rFonts w:ascii="Arial" w:cs="Arial" w:eastAsia="Arial" w:hAnsi="Arial"/>
          <w:sz w:val="21"/>
          <w:szCs w:val="21"/>
          <w:color w:val="auto"/>
        </w:rPr>
        <w:t>. The grant of any Award under the Plan and the issuance of</w:t>
      </w:r>
      <w:r>
        <w:rPr>
          <w:rFonts w:ascii="Arial" w:cs="Arial" w:eastAsia="Arial" w:hAnsi="Arial"/>
          <w:sz w:val="21"/>
          <w:szCs w:val="21"/>
          <w:b w:val="1"/>
          <w:bCs w:val="1"/>
          <w:color w:val="auto"/>
        </w:rPr>
        <w:t xml:space="preserve"> </w:t>
      </w:r>
      <w:r>
        <w:rPr>
          <w:rFonts w:ascii="Arial" w:cs="Arial" w:eastAsia="Arial" w:hAnsi="Arial"/>
          <w:sz w:val="21"/>
          <w:szCs w:val="21"/>
          <w:color w:val="auto"/>
        </w:rPr>
        <w:t>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5" w:lineRule="exact"/>
        <w:rPr>
          <w:rFonts w:ascii="Arial" w:cs="Arial" w:eastAsia="Arial" w:hAnsi="Arial"/>
          <w:sz w:val="21"/>
          <w:szCs w:val="21"/>
          <w:b w:val="1"/>
          <w:bCs w:val="1"/>
          <w:color w:val="auto"/>
        </w:rPr>
      </w:pPr>
    </w:p>
    <w:p>
      <w:pPr>
        <w:ind w:left="660" w:hanging="652"/>
        <w:spacing w:after="0"/>
        <w:tabs>
          <w:tab w:leader="none" w:pos="660" w:val="left"/>
        </w:tabs>
        <w:numPr>
          <w:ilvl w:val="0"/>
          <w:numId w:val="226"/>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291" w:val="left"/>
        </w:tabs>
        <w:numPr>
          <w:ilvl w:val="2"/>
          <w:numId w:val="2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Administration by Board. </w:t>
      </w:r>
      <w:r>
        <w:rPr>
          <w:rFonts w:ascii="Arial" w:cs="Arial" w:eastAsia="Arial" w:hAnsi="Arial"/>
          <w:sz w:val="22"/>
          <w:szCs w:val="22"/>
          <w:color w:val="auto"/>
        </w:rPr>
        <w:t>The Board will administer the Plan unless and until the Board delegates administration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Plan to a Committee or Committees, as provided in subsection (c) below.</w:t>
      </w:r>
    </w:p>
    <w:p>
      <w:pPr>
        <w:spacing w:after="0" w:line="161" w:lineRule="exact"/>
        <w:rPr>
          <w:rFonts w:ascii="Arial" w:cs="Arial" w:eastAsia="Arial" w:hAnsi="Arial"/>
          <w:sz w:val="22"/>
          <w:szCs w:val="22"/>
          <w:b w:val="1"/>
          <w:bCs w:val="1"/>
          <w:color w:val="auto"/>
        </w:rPr>
      </w:pPr>
    </w:p>
    <w:p>
      <w:pPr>
        <w:ind w:left="1300" w:hanging="644"/>
        <w:spacing w:after="0"/>
        <w:tabs>
          <w:tab w:leader="none" w:pos="1300" w:val="left"/>
        </w:tabs>
        <w:numPr>
          <w:ilvl w:val="2"/>
          <w:numId w:val="22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Powers of Board. </w:t>
      </w:r>
      <w:r>
        <w:rPr>
          <w:rFonts w:ascii="Arial" w:cs="Arial" w:eastAsia="Arial" w:hAnsi="Arial"/>
          <w:sz w:val="19"/>
          <w:szCs w:val="19"/>
          <w:color w:val="auto"/>
        </w:rPr>
        <w:t>The Board will have the power, subject to, and within the limitations of, the express provisions</w:t>
      </w:r>
    </w:p>
    <w:p>
      <w:pPr>
        <w:spacing w:after="0" w:line="6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of the Plan:</w:t>
      </w:r>
    </w:p>
    <w:p>
      <w:pPr>
        <w:spacing w:after="0" w:line="201" w:lineRule="exact"/>
        <w:rPr>
          <w:rFonts w:ascii="Arial" w:cs="Arial" w:eastAsia="Arial" w:hAnsi="Arial"/>
          <w:sz w:val="19"/>
          <w:szCs w:val="19"/>
          <w:b w:val="1"/>
          <w:bCs w:val="1"/>
          <w:color w:val="auto"/>
        </w:rPr>
      </w:pPr>
    </w:p>
    <w:p>
      <w:pPr>
        <w:ind w:left="1940" w:hanging="555"/>
        <w:spacing w:after="0"/>
        <w:tabs>
          <w:tab w:leader="none" w:pos="1940" w:val="left"/>
        </w:tabs>
        <w:numPr>
          <w:ilvl w:val="3"/>
          <w:numId w:val="226"/>
        </w:numPr>
        <w:rPr>
          <w:rFonts w:ascii="Arial" w:cs="Arial" w:eastAsia="Arial" w:hAnsi="Arial"/>
          <w:sz w:val="19"/>
          <w:szCs w:val="19"/>
          <w:b w:val="1"/>
          <w:bCs w:val="1"/>
          <w:color w:val="auto"/>
        </w:rPr>
      </w:pPr>
      <w:r>
        <w:rPr>
          <w:rFonts w:ascii="Arial" w:cs="Arial" w:eastAsia="Arial" w:hAnsi="Arial"/>
          <w:sz w:val="19"/>
          <w:szCs w:val="19"/>
          <w:color w:val="auto"/>
        </w:rPr>
        <w:t>To determine from time to time (1) which of the persons eligible under the Plan will be granted Awards;</w:t>
      </w:r>
    </w:p>
    <w:p>
      <w:pPr>
        <w:spacing w:after="0" w:line="55" w:lineRule="exact"/>
        <w:rPr>
          <w:rFonts w:ascii="Arial" w:cs="Arial" w:eastAsia="Arial" w:hAnsi="Arial"/>
          <w:sz w:val="19"/>
          <w:szCs w:val="19"/>
          <w:b w:val="1"/>
          <w:bCs w:val="1"/>
          <w:color w:val="auto"/>
        </w:rPr>
      </w:pPr>
    </w:p>
    <w:p>
      <w:pPr>
        <w:jc w:val="both"/>
        <w:ind w:left="80" w:firstLine="9"/>
        <w:spacing w:after="0" w:line="244" w:lineRule="auto"/>
        <w:tabs>
          <w:tab w:leader="none" w:pos="426" w:val="left"/>
        </w:tabs>
        <w:numPr>
          <w:ilvl w:val="1"/>
          <w:numId w:val="226"/>
        </w:numPr>
        <w:rPr>
          <w:rFonts w:ascii="Arial" w:cs="Arial" w:eastAsia="Arial" w:hAnsi="Arial"/>
          <w:sz w:val="22"/>
          <w:szCs w:val="22"/>
          <w:color w:val="auto"/>
        </w:rPr>
      </w:pPr>
      <w:r>
        <w:rPr>
          <w:rFonts w:ascii="Arial" w:cs="Arial" w:eastAsia="Arial" w:hAnsi="Arial"/>
          <w:sz w:val="22"/>
          <w:szCs w:val="22"/>
          <w:color w:val="auto"/>
        </w:rPr>
        <w:t>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76" w:name="page277"/>
    <w:bookmarkEnd w:id="276"/>
    <w:p>
      <w:pPr>
        <w:jc w:val="both"/>
        <w:spacing w:after="0" w:line="253" w:lineRule="auto"/>
        <w:rPr>
          <w:sz w:val="20"/>
          <w:szCs w:val="20"/>
          <w:color w:val="auto"/>
        </w:rPr>
      </w:pPr>
      <w:r>
        <w:rPr>
          <w:rFonts w:ascii="Arial" w:cs="Arial" w:eastAsia="Arial" w:hAnsi="Arial"/>
          <w:sz w:val="22"/>
          <w:szCs w:val="22"/>
          <w:color w:val="auto"/>
        </w:rPr>
        <w:t>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85" w:lineRule="exact"/>
        <w:rPr>
          <w:sz w:val="20"/>
          <w:szCs w:val="20"/>
          <w:color w:val="auto"/>
        </w:rPr>
      </w:pPr>
    </w:p>
    <w:p>
      <w:pPr>
        <w:jc w:val="both"/>
        <w:ind w:firstLine="1305"/>
        <w:spacing w:after="0" w:line="250" w:lineRule="auto"/>
        <w:tabs>
          <w:tab w:leader="none" w:pos="1857" w:val="left"/>
        </w:tabs>
        <w:numPr>
          <w:ilvl w:val="0"/>
          <w:numId w:val="227"/>
        </w:numPr>
        <w:rPr>
          <w:rFonts w:ascii="Arial" w:cs="Arial" w:eastAsia="Arial" w:hAnsi="Arial"/>
          <w:sz w:val="22"/>
          <w:szCs w:val="22"/>
          <w:b w:val="1"/>
          <w:bCs w:val="1"/>
          <w:color w:val="auto"/>
        </w:rPr>
      </w:pPr>
      <w:r>
        <w:rPr>
          <w:rFonts w:ascii="Arial" w:cs="Arial" w:eastAsia="Arial" w:hAnsi="Arial"/>
          <w:sz w:val="22"/>
          <w:szCs w:val="22"/>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87" w:lineRule="exact"/>
        <w:rPr>
          <w:rFonts w:ascii="Arial" w:cs="Arial" w:eastAsia="Arial" w:hAnsi="Arial"/>
          <w:sz w:val="22"/>
          <w:szCs w:val="22"/>
          <w:b w:val="1"/>
          <w:bCs w:val="1"/>
          <w:color w:val="auto"/>
        </w:rPr>
      </w:pPr>
    </w:p>
    <w:p>
      <w:pPr>
        <w:ind w:left="1880" w:hanging="575"/>
        <w:spacing w:after="0"/>
        <w:tabs>
          <w:tab w:leader="none" w:pos="1880" w:val="left"/>
        </w:tabs>
        <w:numPr>
          <w:ilvl w:val="0"/>
          <w:numId w:val="227"/>
        </w:numPr>
        <w:rPr>
          <w:rFonts w:ascii="Arial" w:cs="Arial" w:eastAsia="Arial" w:hAnsi="Arial"/>
          <w:sz w:val="22"/>
          <w:szCs w:val="22"/>
          <w:b w:val="1"/>
          <w:bCs w:val="1"/>
          <w:color w:val="auto"/>
        </w:rPr>
      </w:pPr>
      <w:r>
        <w:rPr>
          <w:rFonts w:ascii="Arial" w:cs="Arial" w:eastAsia="Arial" w:hAnsi="Arial"/>
          <w:sz w:val="22"/>
          <w:szCs w:val="22"/>
          <w:color w:val="auto"/>
        </w:rPr>
        <w:t>To settle all controversies regarding the Plan and Awards granted under it.</w:t>
      </w:r>
    </w:p>
    <w:p>
      <w:pPr>
        <w:spacing w:after="0" w:line="219" w:lineRule="exact"/>
        <w:rPr>
          <w:rFonts w:ascii="Arial" w:cs="Arial" w:eastAsia="Arial" w:hAnsi="Arial"/>
          <w:sz w:val="22"/>
          <w:szCs w:val="22"/>
          <w:b w:val="1"/>
          <w:bCs w:val="1"/>
          <w:color w:val="auto"/>
        </w:rPr>
      </w:pPr>
    </w:p>
    <w:p>
      <w:pPr>
        <w:jc w:val="both"/>
        <w:ind w:firstLine="1305"/>
        <w:spacing w:after="0" w:line="253" w:lineRule="auto"/>
        <w:tabs>
          <w:tab w:leader="none" w:pos="1851" w:val="left"/>
        </w:tabs>
        <w:numPr>
          <w:ilvl w:val="0"/>
          <w:numId w:val="227"/>
        </w:numPr>
        <w:rPr>
          <w:rFonts w:ascii="Arial" w:cs="Arial" w:eastAsia="Arial" w:hAnsi="Arial"/>
          <w:sz w:val="22"/>
          <w:szCs w:val="22"/>
          <w:b w:val="1"/>
          <w:bCs w:val="1"/>
          <w:color w:val="auto"/>
        </w:rPr>
      </w:pPr>
      <w:r>
        <w:rPr>
          <w:rFonts w:ascii="Arial" w:cs="Arial" w:eastAsia="Arial" w:hAnsi="Arial"/>
          <w:sz w:val="22"/>
          <w:szCs w:val="22"/>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85" w:lineRule="exact"/>
        <w:rPr>
          <w:rFonts w:ascii="Arial" w:cs="Arial" w:eastAsia="Arial" w:hAnsi="Arial"/>
          <w:sz w:val="22"/>
          <w:szCs w:val="22"/>
          <w:b w:val="1"/>
          <w:bCs w:val="1"/>
          <w:color w:val="auto"/>
        </w:rPr>
      </w:pPr>
    </w:p>
    <w:p>
      <w:pPr>
        <w:jc w:val="both"/>
        <w:ind w:firstLine="1305"/>
        <w:spacing w:after="0" w:line="248" w:lineRule="auto"/>
        <w:tabs>
          <w:tab w:leader="none" w:pos="1858" w:val="left"/>
        </w:tabs>
        <w:numPr>
          <w:ilvl w:val="0"/>
          <w:numId w:val="227"/>
        </w:numPr>
        <w:rPr>
          <w:rFonts w:ascii="Arial" w:cs="Arial" w:eastAsia="Arial" w:hAnsi="Arial"/>
          <w:sz w:val="22"/>
          <w:szCs w:val="22"/>
          <w:b w:val="1"/>
          <w:bCs w:val="1"/>
          <w:color w:val="auto"/>
        </w:rPr>
      </w:pPr>
      <w:r>
        <w:rPr>
          <w:rFonts w:ascii="Arial" w:cs="Arial" w:eastAsia="Arial" w:hAnsi="Arial"/>
          <w:sz w:val="22"/>
          <w:szCs w:val="22"/>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91" w:lineRule="exact"/>
        <w:rPr>
          <w:rFonts w:ascii="Arial" w:cs="Arial" w:eastAsia="Arial" w:hAnsi="Arial"/>
          <w:sz w:val="22"/>
          <w:szCs w:val="22"/>
          <w:b w:val="1"/>
          <w:bCs w:val="1"/>
          <w:color w:val="auto"/>
        </w:rPr>
      </w:pPr>
    </w:p>
    <w:p>
      <w:pPr>
        <w:jc w:val="both"/>
        <w:ind w:firstLine="1305"/>
        <w:spacing w:after="0" w:line="253" w:lineRule="auto"/>
        <w:tabs>
          <w:tab w:leader="none" w:pos="1851" w:val="left"/>
        </w:tabs>
        <w:numPr>
          <w:ilvl w:val="0"/>
          <w:numId w:val="227"/>
        </w:numPr>
        <w:rPr>
          <w:rFonts w:ascii="Arial" w:cs="Arial" w:eastAsia="Arial" w:hAnsi="Arial"/>
          <w:sz w:val="22"/>
          <w:szCs w:val="22"/>
          <w:b w:val="1"/>
          <w:bCs w:val="1"/>
          <w:color w:val="auto"/>
        </w:rPr>
      </w:pPr>
      <w:r>
        <w:rPr>
          <w:rFonts w:ascii="Arial" w:cs="Arial" w:eastAsia="Arial" w:hAnsi="Arial"/>
          <w:sz w:val="22"/>
          <w:szCs w:val="22"/>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85" w:lineRule="exact"/>
        <w:rPr>
          <w:rFonts w:ascii="Arial" w:cs="Arial" w:eastAsia="Arial" w:hAnsi="Arial"/>
          <w:sz w:val="22"/>
          <w:szCs w:val="22"/>
          <w:b w:val="1"/>
          <w:bCs w:val="1"/>
          <w:color w:val="auto"/>
        </w:rPr>
      </w:pPr>
    </w:p>
    <w:p>
      <w:pPr>
        <w:jc w:val="both"/>
        <w:ind w:firstLine="1305"/>
        <w:spacing w:after="0" w:line="302" w:lineRule="auto"/>
        <w:tabs>
          <w:tab w:leader="none" w:pos="1857" w:val="left"/>
        </w:tabs>
        <w:numPr>
          <w:ilvl w:val="0"/>
          <w:numId w:val="227"/>
        </w:numPr>
        <w:rPr>
          <w:rFonts w:ascii="Arial" w:cs="Arial" w:eastAsia="Arial" w:hAnsi="Arial"/>
          <w:sz w:val="19"/>
          <w:szCs w:val="19"/>
          <w:b w:val="1"/>
          <w:bCs w:val="1"/>
          <w:color w:val="auto"/>
        </w:rPr>
      </w:pPr>
      <w:r>
        <w:rPr>
          <w:rFonts w:ascii="Arial" w:cs="Arial" w:eastAsia="Arial" w:hAnsi="Arial"/>
          <w:sz w:val="19"/>
          <w:szCs w:val="19"/>
          <w:color w:val="auto"/>
        </w:rPr>
        <w:t>To amend the Plan in any respect the Board deems necessary or advisable; provided,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42" w:lineRule="exact"/>
        <w:rPr>
          <w:rFonts w:ascii="Arial" w:cs="Arial" w:eastAsia="Arial" w:hAnsi="Arial"/>
          <w:sz w:val="19"/>
          <w:szCs w:val="19"/>
          <w:b w:val="1"/>
          <w:bCs w:val="1"/>
          <w:color w:val="auto"/>
        </w:rPr>
      </w:pPr>
    </w:p>
    <w:p>
      <w:pPr>
        <w:ind w:left="1880" w:hanging="575"/>
        <w:spacing w:after="0"/>
        <w:tabs>
          <w:tab w:leader="none" w:pos="1880" w:val="left"/>
        </w:tabs>
        <w:numPr>
          <w:ilvl w:val="0"/>
          <w:numId w:val="227"/>
        </w:numPr>
        <w:rPr>
          <w:rFonts w:ascii="Arial" w:cs="Arial" w:eastAsia="Arial" w:hAnsi="Arial"/>
          <w:sz w:val="22"/>
          <w:szCs w:val="22"/>
          <w:b w:val="1"/>
          <w:bCs w:val="1"/>
          <w:color w:val="auto"/>
        </w:rPr>
      </w:pPr>
      <w:r>
        <w:rPr>
          <w:rFonts w:ascii="Arial" w:cs="Arial" w:eastAsia="Arial" w:hAnsi="Arial"/>
          <w:sz w:val="22"/>
          <w:szCs w:val="22"/>
          <w:color w:val="auto"/>
        </w:rPr>
        <w:t>To submit any amendment to the Plan for stockholder approval.</w:t>
      </w:r>
    </w:p>
    <w:p>
      <w:pPr>
        <w:spacing w:after="0" w:line="219" w:lineRule="exact"/>
        <w:rPr>
          <w:rFonts w:ascii="Arial" w:cs="Arial" w:eastAsia="Arial" w:hAnsi="Arial"/>
          <w:sz w:val="22"/>
          <w:szCs w:val="22"/>
          <w:b w:val="1"/>
          <w:bCs w:val="1"/>
          <w:color w:val="auto"/>
        </w:rPr>
      </w:pPr>
    </w:p>
    <w:p>
      <w:pPr>
        <w:jc w:val="both"/>
        <w:ind w:firstLine="1305"/>
        <w:spacing w:after="0" w:line="297" w:lineRule="auto"/>
        <w:tabs>
          <w:tab w:leader="none" w:pos="1851" w:val="left"/>
        </w:tabs>
        <w:numPr>
          <w:ilvl w:val="0"/>
          <w:numId w:val="227"/>
        </w:numPr>
        <w:rPr>
          <w:rFonts w:ascii="Arial" w:cs="Arial" w:eastAsia="Arial" w:hAnsi="Arial"/>
          <w:sz w:val="19"/>
          <w:szCs w:val="19"/>
          <w:b w:val="1"/>
          <w:bCs w:val="1"/>
          <w:color w:val="auto"/>
        </w:rPr>
      </w:pPr>
      <w:r>
        <w:rPr>
          <w:rFonts w:ascii="Arial" w:cs="Arial" w:eastAsia="Arial" w:hAnsi="Arial"/>
          <w:sz w:val="19"/>
          <w:szCs w:val="19"/>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a Participant’s rights under any Award will not be Materially Impaired by any such amendment unless (1) the Company requests the consent of the affected Participant, and (2) such Participant consents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160"/>
          </w:cols>
          <w:pgMar w:left="400" w:top="1428" w:right="339" w:bottom="1440" w:gutter="0" w:footer="0" w:header="0"/>
        </w:sectPr>
      </w:pPr>
    </w:p>
    <w:bookmarkStart w:id="277" w:name="page278"/>
    <w:bookmarkEnd w:id="277"/>
    <w:p>
      <w:pPr>
        <w:ind w:firstLine="1305"/>
        <w:spacing w:after="0" w:line="343" w:lineRule="auto"/>
        <w:tabs>
          <w:tab w:leader="none" w:pos="1858" w:val="left"/>
        </w:tabs>
        <w:numPr>
          <w:ilvl w:val="2"/>
          <w:numId w:val="228"/>
        </w:numPr>
        <w:rPr>
          <w:rFonts w:ascii="Arial" w:cs="Arial" w:eastAsia="Arial" w:hAnsi="Arial"/>
          <w:sz w:val="19"/>
          <w:szCs w:val="19"/>
          <w:b w:val="1"/>
          <w:bCs w:val="1"/>
          <w:color w:val="auto"/>
        </w:rPr>
      </w:pPr>
      <w:r>
        <w:rPr>
          <w:rFonts w:ascii="Arial" w:cs="Arial" w:eastAsia="Arial" w:hAnsi="Arial"/>
          <w:sz w:val="19"/>
          <w:szCs w:val="19"/>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04" w:lineRule="exact"/>
        <w:rPr>
          <w:rFonts w:ascii="Arial" w:cs="Arial" w:eastAsia="Arial" w:hAnsi="Arial"/>
          <w:sz w:val="19"/>
          <w:szCs w:val="19"/>
          <w:b w:val="1"/>
          <w:bCs w:val="1"/>
          <w:color w:val="auto"/>
        </w:rPr>
      </w:pPr>
    </w:p>
    <w:p>
      <w:pPr>
        <w:jc w:val="both"/>
        <w:ind w:firstLine="1305"/>
        <w:spacing w:after="0" w:line="248" w:lineRule="auto"/>
        <w:tabs>
          <w:tab w:leader="none" w:pos="1851" w:val="left"/>
        </w:tabs>
        <w:numPr>
          <w:ilvl w:val="2"/>
          <w:numId w:val="228"/>
        </w:numPr>
        <w:rPr>
          <w:rFonts w:ascii="Arial" w:cs="Arial" w:eastAsia="Arial" w:hAnsi="Arial"/>
          <w:sz w:val="22"/>
          <w:szCs w:val="22"/>
          <w:b w:val="1"/>
          <w:bCs w:val="1"/>
          <w:color w:val="auto"/>
        </w:rPr>
      </w:pPr>
      <w:r>
        <w:rPr>
          <w:rFonts w:ascii="Arial" w:cs="Arial" w:eastAsia="Arial" w:hAnsi="Arial"/>
          <w:sz w:val="22"/>
          <w:szCs w:val="22"/>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91" w:lineRule="exact"/>
        <w:rPr>
          <w:rFonts w:ascii="Arial" w:cs="Arial" w:eastAsia="Arial" w:hAnsi="Arial"/>
          <w:sz w:val="22"/>
          <w:szCs w:val="22"/>
          <w:b w:val="1"/>
          <w:bCs w:val="1"/>
          <w:color w:val="auto"/>
        </w:rPr>
      </w:pPr>
    </w:p>
    <w:p>
      <w:pPr>
        <w:jc w:val="both"/>
        <w:ind w:firstLine="1305"/>
        <w:spacing w:after="0" w:line="291" w:lineRule="auto"/>
        <w:tabs>
          <w:tab w:leader="none" w:pos="1857" w:val="left"/>
        </w:tabs>
        <w:numPr>
          <w:ilvl w:val="2"/>
          <w:numId w:val="228"/>
        </w:numPr>
        <w:rPr>
          <w:rFonts w:ascii="Arial" w:cs="Arial" w:eastAsia="Arial" w:hAnsi="Arial"/>
          <w:sz w:val="19"/>
          <w:szCs w:val="19"/>
          <w:b w:val="1"/>
          <w:bCs w:val="1"/>
          <w:color w:val="auto"/>
        </w:rPr>
      </w:pPr>
      <w:r>
        <w:rPr>
          <w:rFonts w:ascii="Arial" w:cs="Arial" w:eastAsia="Arial" w:hAnsi="Arial"/>
          <w:sz w:val="19"/>
          <w:szCs w:val="19"/>
          <w:color w:val="auto"/>
        </w:rPr>
        <w:t>To effect, at any time and from time to time, subject to the consent of any Participant whose Award is Materially Impaired by such action, (1) the reduction of the exercise price (or strike price) of any outstanding Option or SAR;</w:t>
      </w:r>
    </w:p>
    <w:p>
      <w:pPr>
        <w:spacing w:after="0" w:line="1" w:lineRule="exact"/>
        <w:rPr>
          <w:rFonts w:ascii="Arial" w:cs="Arial" w:eastAsia="Arial" w:hAnsi="Arial"/>
          <w:sz w:val="19"/>
          <w:szCs w:val="19"/>
          <w:b w:val="1"/>
          <w:bCs w:val="1"/>
          <w:color w:val="auto"/>
        </w:rPr>
      </w:pPr>
    </w:p>
    <w:p>
      <w:pPr>
        <w:jc w:val="both"/>
        <w:ind w:firstLine="9"/>
        <w:spacing w:after="0" w:line="295" w:lineRule="auto"/>
        <w:tabs>
          <w:tab w:leader="none" w:pos="349"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43" w:lineRule="exact"/>
        <w:rPr>
          <w:rFonts w:ascii="Arial" w:cs="Arial" w:eastAsia="Arial" w:hAnsi="Arial"/>
          <w:sz w:val="19"/>
          <w:szCs w:val="19"/>
          <w:color w:val="auto"/>
        </w:rPr>
      </w:pPr>
    </w:p>
    <w:p>
      <w:pPr>
        <w:ind w:left="1220" w:hanging="644"/>
        <w:spacing w:after="0"/>
        <w:tabs>
          <w:tab w:leader="none" w:pos="1220" w:val="left"/>
        </w:tabs>
        <w:numPr>
          <w:ilvl w:val="1"/>
          <w:numId w:val="229"/>
        </w:numPr>
        <w:rPr>
          <w:rFonts w:ascii="Arial" w:cs="Arial" w:eastAsia="Arial" w:hAnsi="Arial"/>
          <w:sz w:val="22"/>
          <w:szCs w:val="22"/>
          <w:b w:val="1"/>
          <w:bCs w:val="1"/>
          <w:color w:val="auto"/>
        </w:rPr>
      </w:pPr>
      <w:r>
        <w:rPr>
          <w:rFonts w:ascii="Arial" w:cs="Arial" w:eastAsia="Arial" w:hAnsi="Arial"/>
          <w:sz w:val="22"/>
          <w:szCs w:val="22"/>
          <w:b w:val="1"/>
          <w:bCs w:val="1"/>
          <w:color w:val="auto"/>
        </w:rPr>
        <w:t>Delegation to Committee.</w:t>
      </w:r>
    </w:p>
    <w:p>
      <w:pPr>
        <w:spacing w:after="0" w:line="219" w:lineRule="exact"/>
        <w:rPr>
          <w:rFonts w:ascii="Arial" w:cs="Arial" w:eastAsia="Arial" w:hAnsi="Arial"/>
          <w:sz w:val="22"/>
          <w:szCs w:val="22"/>
          <w:b w:val="1"/>
          <w:bCs w:val="1"/>
          <w:color w:val="auto"/>
        </w:rPr>
      </w:pPr>
    </w:p>
    <w:p>
      <w:pPr>
        <w:jc w:val="both"/>
        <w:ind w:firstLine="1305"/>
        <w:spacing w:after="0" w:line="289" w:lineRule="auto"/>
        <w:tabs>
          <w:tab w:leader="none" w:pos="1851" w:val="left"/>
        </w:tabs>
        <w:numPr>
          <w:ilvl w:val="2"/>
          <w:numId w:val="2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The Board may delegate some or all of the administration of the Plan to a Committee or</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50" w:lineRule="exact"/>
        <w:rPr>
          <w:rFonts w:ascii="Arial" w:cs="Arial" w:eastAsia="Arial" w:hAnsi="Arial"/>
          <w:sz w:val="19"/>
          <w:szCs w:val="19"/>
          <w:b w:val="1"/>
          <w:bCs w:val="1"/>
          <w:color w:val="auto"/>
        </w:rPr>
      </w:pPr>
    </w:p>
    <w:p>
      <w:pPr>
        <w:jc w:val="both"/>
        <w:ind w:firstLine="1305"/>
        <w:spacing w:after="0" w:line="298" w:lineRule="auto"/>
        <w:tabs>
          <w:tab w:leader="none" w:pos="1857" w:val="left"/>
        </w:tabs>
        <w:numPr>
          <w:ilvl w:val="2"/>
          <w:numId w:val="2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Rule 16b-3 Compliance. </w:t>
      </w:r>
      <w:r>
        <w:rPr>
          <w:rFonts w:ascii="Arial" w:cs="Arial" w:eastAsia="Arial" w:hAnsi="Arial"/>
          <w:sz w:val="19"/>
          <w:szCs w:val="19"/>
          <w:color w:val="auto"/>
        </w:rPr>
        <w:t>To the extent an Award is intended to qualify for the exemption from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160"/>
          </w:cols>
          <w:pgMar w:left="400" w:top="1428" w:right="339" w:bottom="1440" w:gutter="0" w:footer="0" w:header="0"/>
        </w:sectPr>
      </w:pPr>
    </w:p>
    <w:bookmarkStart w:id="278" w:name="page279"/>
    <w:bookmarkEnd w:id="278"/>
    <w:p>
      <w:pPr>
        <w:ind w:firstLine="656"/>
        <w:spacing w:after="0" w:line="349" w:lineRule="auto"/>
        <w:tabs>
          <w:tab w:leader="none" w:pos="1293" w:val="left"/>
        </w:tabs>
        <w:numPr>
          <w:ilvl w:val="1"/>
          <w:numId w:val="23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 of Board’s Decision. </w:t>
      </w:r>
      <w:r>
        <w:rPr>
          <w:rFonts w:ascii="Arial" w:cs="Arial" w:eastAsia="Arial" w:hAnsi="Arial"/>
          <w:sz w:val="19"/>
          <w:szCs w:val="19"/>
          <w:color w:val="auto"/>
        </w:rPr>
        <w:t>All determinations, interpretations and constructions made by the Board or any</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in good faith will not be subject to review by any person and will be final, binding and conclusive on all persons.</w:t>
      </w:r>
    </w:p>
    <w:p>
      <w:pPr>
        <w:spacing w:after="0" w:line="93" w:lineRule="exact"/>
        <w:rPr>
          <w:rFonts w:ascii="Arial" w:cs="Arial" w:eastAsia="Arial" w:hAnsi="Arial"/>
          <w:sz w:val="19"/>
          <w:szCs w:val="19"/>
          <w:b w:val="1"/>
          <w:bCs w:val="1"/>
          <w:color w:val="auto"/>
        </w:rPr>
      </w:pPr>
    </w:p>
    <w:p>
      <w:pPr>
        <w:jc w:val="both"/>
        <w:ind w:firstLine="656"/>
        <w:spacing w:after="0" w:line="289" w:lineRule="auto"/>
        <w:tabs>
          <w:tab w:leader="none" w:pos="1290" w:val="left"/>
        </w:tabs>
        <w:numPr>
          <w:ilvl w:val="1"/>
          <w:numId w:val="23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Delegation to an Officer. </w:t>
      </w:r>
      <w:r>
        <w:rPr>
          <w:rFonts w:ascii="Arial" w:cs="Arial" w:eastAsia="Arial" w:hAnsi="Arial"/>
          <w:sz w:val="19"/>
          <w:szCs w:val="19"/>
          <w:color w:val="auto"/>
        </w:rPr>
        <w:t>The Board or any Committee may delegate to one or more Officers the authority to do</w:t>
      </w:r>
      <w:r>
        <w:rPr>
          <w:rFonts w:ascii="Arial" w:cs="Arial" w:eastAsia="Arial" w:hAnsi="Arial"/>
          <w:sz w:val="19"/>
          <w:szCs w:val="19"/>
          <w:b w:val="1"/>
          <w:bCs w:val="1"/>
          <w:color w:val="auto"/>
        </w:rPr>
        <w:t xml:space="preserve"> </w:t>
      </w:r>
      <w:r>
        <w:rPr>
          <w:rFonts w:ascii="Arial" w:cs="Arial" w:eastAsia="Arial" w:hAnsi="Arial"/>
          <w:sz w:val="19"/>
          <w:szCs w:val="19"/>
          <w:color w:val="auto"/>
        </w:rPr>
        <w:t>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50" w:lineRule="exact"/>
        <w:rPr>
          <w:rFonts w:ascii="Arial" w:cs="Arial" w:eastAsia="Arial" w:hAnsi="Arial"/>
          <w:sz w:val="19"/>
          <w:szCs w:val="19"/>
          <w:b w:val="1"/>
          <w:bCs w:val="1"/>
          <w:color w:val="auto"/>
        </w:rPr>
      </w:pPr>
    </w:p>
    <w:p>
      <w:pPr>
        <w:ind w:left="660" w:hanging="652"/>
        <w:spacing w:after="0"/>
        <w:tabs>
          <w:tab w:leader="none" w:pos="660" w:val="left"/>
        </w:tabs>
        <w:numPr>
          <w:ilvl w:val="0"/>
          <w:numId w:val="231"/>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w:t>
      </w:r>
    </w:p>
    <w:p>
      <w:pPr>
        <w:spacing w:after="0" w:line="219" w:lineRule="exact"/>
        <w:rPr>
          <w:rFonts w:ascii="Arial" w:cs="Arial" w:eastAsia="Arial" w:hAnsi="Arial"/>
          <w:sz w:val="22"/>
          <w:szCs w:val="22"/>
          <w:b w:val="1"/>
          <w:bCs w:val="1"/>
          <w:color w:val="auto"/>
        </w:rPr>
      </w:pPr>
    </w:p>
    <w:p>
      <w:pPr>
        <w:jc w:val="both"/>
        <w:ind w:firstLine="656"/>
        <w:spacing w:after="0" w:line="247" w:lineRule="auto"/>
        <w:tabs>
          <w:tab w:leader="none" w:pos="1291" w:val="left"/>
        </w:tabs>
        <w:numPr>
          <w:ilvl w:val="1"/>
          <w:numId w:val="2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Withholding Authorization. </w:t>
      </w:r>
      <w:r>
        <w:rPr>
          <w:rFonts w:ascii="Arial" w:cs="Arial" w:eastAsia="Arial" w:hAnsi="Arial"/>
          <w:sz w:val="22"/>
          <w:szCs w:val="22"/>
          <w:color w:val="auto"/>
        </w:rPr>
        <w:t>As a condition to acceptance of any Award under the Plan, a Participant authorizes</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9" w:lineRule="exact"/>
        <w:rPr>
          <w:rFonts w:ascii="Arial" w:cs="Arial" w:eastAsia="Arial" w:hAnsi="Arial"/>
          <w:sz w:val="22"/>
          <w:szCs w:val="22"/>
          <w:b w:val="1"/>
          <w:bCs w:val="1"/>
          <w:color w:val="auto"/>
        </w:rPr>
      </w:pPr>
    </w:p>
    <w:p>
      <w:pPr>
        <w:jc w:val="both"/>
        <w:ind w:firstLine="656"/>
        <w:spacing w:after="0" w:line="260" w:lineRule="auto"/>
        <w:tabs>
          <w:tab w:leader="none" w:pos="1290" w:val="left"/>
        </w:tabs>
        <w:numPr>
          <w:ilvl w:val="1"/>
          <w:numId w:val="23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Satisfaction of Withholding Obligation. </w:t>
      </w:r>
      <w:r>
        <w:rPr>
          <w:rFonts w:ascii="Arial" w:cs="Arial" w:eastAsia="Arial" w:hAnsi="Arial"/>
          <w:sz w:val="21"/>
          <w:szCs w:val="21"/>
          <w:color w:val="auto"/>
        </w:rPr>
        <w:t>To the extent permitted by the terms of an Award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75" w:lineRule="exact"/>
        <w:rPr>
          <w:rFonts w:ascii="Arial" w:cs="Arial" w:eastAsia="Arial" w:hAnsi="Arial"/>
          <w:sz w:val="21"/>
          <w:szCs w:val="21"/>
          <w:b w:val="1"/>
          <w:bCs w:val="1"/>
          <w:color w:val="auto"/>
        </w:rPr>
      </w:pPr>
    </w:p>
    <w:p>
      <w:pPr>
        <w:jc w:val="both"/>
        <w:ind w:firstLine="656"/>
        <w:spacing w:after="0" w:line="315" w:lineRule="auto"/>
        <w:tabs>
          <w:tab w:leader="none" w:pos="1293" w:val="left"/>
        </w:tabs>
        <w:numPr>
          <w:ilvl w:val="1"/>
          <w:numId w:val="2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Obligation to Notify or Minimize Taxes; No Liability to Claims. </w:t>
      </w:r>
      <w:r>
        <w:rPr>
          <w:rFonts w:ascii="Arial" w:cs="Arial" w:eastAsia="Arial" w:hAnsi="Arial"/>
          <w:sz w:val="19"/>
          <w:szCs w:val="19"/>
          <w:color w:val="auto"/>
        </w:rPr>
        <w:t>Except as required by Applicable Law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has no duty or obligation to any Participant to advise such holder as to the time or manner of exercising such Award. Furthermore, the Company has no duty or obligation to warn or otherwise advise such holder of a pending termination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2" w:right="339" w:bottom="1440" w:gutter="0" w:footer="0" w:header="0"/>
        </w:sectPr>
      </w:pPr>
    </w:p>
    <w:bookmarkStart w:id="279" w:name="page280"/>
    <w:bookmarkEnd w:id="279"/>
    <w:p>
      <w:pPr>
        <w:jc w:val="both"/>
        <w:spacing w:after="0" w:line="286" w:lineRule="auto"/>
        <w:rPr>
          <w:sz w:val="20"/>
          <w:szCs w:val="20"/>
          <w:color w:val="auto"/>
        </w:rPr>
      </w:pPr>
      <w:r>
        <w:rPr>
          <w:rFonts w:ascii="Arial" w:cs="Arial" w:eastAsia="Arial" w:hAnsi="Arial"/>
          <w:sz w:val="19"/>
          <w:szCs w:val="19"/>
          <w:color w:val="auto"/>
        </w:rPr>
        <w:t>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their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60" w:lineRule="exact"/>
        <w:rPr>
          <w:sz w:val="20"/>
          <w:szCs w:val="20"/>
          <w:color w:val="auto"/>
        </w:rPr>
      </w:pPr>
    </w:p>
    <w:p>
      <w:pPr>
        <w:jc w:val="both"/>
        <w:ind w:firstLine="656"/>
        <w:spacing w:after="0" w:line="304" w:lineRule="auto"/>
        <w:tabs>
          <w:tab w:leader="none" w:pos="1290" w:val="left"/>
        </w:tabs>
        <w:numPr>
          <w:ilvl w:val="1"/>
          <w:numId w:val="2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 Indemnification. </w:t>
      </w:r>
      <w:r>
        <w:rPr>
          <w:rFonts w:ascii="Arial" w:cs="Arial" w:eastAsia="Arial" w:hAnsi="Arial"/>
          <w:sz w:val="19"/>
          <w:szCs w:val="19"/>
          <w:color w:val="auto"/>
        </w:rPr>
        <w:t>As a condition to accepting an Award under the Plan, in the event that the amount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35" w:lineRule="exact"/>
        <w:rPr>
          <w:rFonts w:ascii="Arial" w:cs="Arial" w:eastAsia="Arial" w:hAnsi="Arial"/>
          <w:sz w:val="19"/>
          <w:szCs w:val="19"/>
          <w:b w:val="1"/>
          <w:bCs w:val="1"/>
          <w:color w:val="auto"/>
        </w:rPr>
      </w:pPr>
    </w:p>
    <w:p>
      <w:pPr>
        <w:ind w:left="660" w:hanging="652"/>
        <w:spacing w:after="0"/>
        <w:tabs>
          <w:tab w:leader="none" w:pos="660" w:val="left"/>
        </w:tabs>
        <w:numPr>
          <w:ilvl w:val="0"/>
          <w:numId w:val="233"/>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291" w:val="left"/>
        </w:tabs>
        <w:numPr>
          <w:ilvl w:val="1"/>
          <w:numId w:val="2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Source of Shares. </w:t>
      </w:r>
      <w:r>
        <w:rPr>
          <w:rFonts w:ascii="Arial" w:cs="Arial" w:eastAsia="Arial" w:hAnsi="Arial"/>
          <w:sz w:val="22"/>
          <w:szCs w:val="22"/>
          <w:color w:val="auto"/>
        </w:rPr>
        <w:t>The stock issuable under the Plan will be shares of authorized but unissued or reacquired</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including shares repurchased by the Company on the open market or otherwise.</w:t>
      </w:r>
    </w:p>
    <w:p>
      <w:pPr>
        <w:spacing w:after="0" w:line="161" w:lineRule="exact"/>
        <w:rPr>
          <w:rFonts w:ascii="Arial" w:cs="Arial" w:eastAsia="Arial" w:hAnsi="Arial"/>
          <w:sz w:val="22"/>
          <w:szCs w:val="22"/>
          <w:b w:val="1"/>
          <w:bCs w:val="1"/>
          <w:color w:val="auto"/>
        </w:rPr>
      </w:pPr>
    </w:p>
    <w:p>
      <w:pPr>
        <w:ind w:right="20" w:firstLine="656"/>
        <w:spacing w:after="0" w:line="269" w:lineRule="auto"/>
        <w:tabs>
          <w:tab w:leader="none" w:pos="1290" w:val="left"/>
        </w:tabs>
        <w:numPr>
          <w:ilvl w:val="1"/>
          <w:numId w:val="2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Use of Proceeds from Sales of Common Stock. </w:t>
      </w:r>
      <w:r>
        <w:rPr>
          <w:rFonts w:ascii="Arial" w:cs="Arial" w:eastAsia="Arial" w:hAnsi="Arial"/>
          <w:sz w:val="22"/>
          <w:szCs w:val="22"/>
          <w:color w:val="auto"/>
        </w:rPr>
        <w:t>Proceeds from the sale of shares of Common Stock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Awards will constitute general funds of the Company.</w:t>
      </w:r>
    </w:p>
    <w:p>
      <w:pPr>
        <w:spacing w:after="0" w:line="161" w:lineRule="exact"/>
        <w:rPr>
          <w:rFonts w:ascii="Arial" w:cs="Arial" w:eastAsia="Arial" w:hAnsi="Arial"/>
          <w:sz w:val="22"/>
          <w:szCs w:val="22"/>
          <w:b w:val="1"/>
          <w:bCs w:val="1"/>
          <w:color w:val="auto"/>
        </w:rPr>
      </w:pPr>
    </w:p>
    <w:p>
      <w:pPr>
        <w:jc w:val="both"/>
        <w:ind w:firstLine="656"/>
        <w:spacing w:after="0" w:line="260" w:lineRule="auto"/>
        <w:tabs>
          <w:tab w:leader="none" w:pos="1293" w:val="left"/>
        </w:tabs>
        <w:numPr>
          <w:ilvl w:val="1"/>
          <w:numId w:val="23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Corporate Action Constituting Grant of Awards. </w:t>
      </w:r>
      <w:r>
        <w:rPr>
          <w:rFonts w:ascii="Arial" w:cs="Arial" w:eastAsia="Arial" w:hAnsi="Arial"/>
          <w:sz w:val="21"/>
          <w:szCs w:val="21"/>
          <w:color w:val="auto"/>
        </w:rPr>
        <w:t>Corporate action constituting a grant by the Company of an</w:t>
      </w:r>
      <w:r>
        <w:rPr>
          <w:rFonts w:ascii="Arial" w:cs="Arial" w:eastAsia="Arial" w:hAnsi="Arial"/>
          <w:sz w:val="21"/>
          <w:szCs w:val="21"/>
          <w:b w:val="1"/>
          <w:bCs w:val="1"/>
          <w:color w:val="auto"/>
        </w:rPr>
        <w:t xml:space="preserve"> </w:t>
      </w:r>
      <w:r>
        <w:rPr>
          <w:rFonts w:ascii="Arial" w:cs="Arial" w:eastAsia="Arial" w:hAnsi="Arial"/>
          <w:sz w:val="21"/>
          <w:szCs w:val="21"/>
          <w:color w:val="auto"/>
        </w:rPr>
        <w:t>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80" w:name="page281"/>
    <w:bookmarkEnd w:id="280"/>
    <w:p>
      <w:pPr>
        <w:jc w:val="both"/>
        <w:ind w:firstLine="656"/>
        <w:spacing w:after="0" w:line="252" w:lineRule="auto"/>
        <w:tabs>
          <w:tab w:leader="none" w:pos="1290"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Stockholder Rights. </w:t>
      </w:r>
      <w:r>
        <w:rPr>
          <w:rFonts w:ascii="Arial" w:cs="Arial" w:eastAsia="Arial" w:hAnsi="Arial"/>
          <w:sz w:val="22"/>
          <w:szCs w:val="22"/>
          <w:color w:val="auto"/>
        </w:rPr>
        <w:t>No Participant will be deemed to be the holder of, or to have any of the rights of a holder</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9" w:lineRule="exact"/>
        <w:rPr>
          <w:rFonts w:ascii="Arial" w:cs="Arial" w:eastAsia="Arial" w:hAnsi="Arial"/>
          <w:sz w:val="22"/>
          <w:szCs w:val="22"/>
          <w:b w:val="1"/>
          <w:bCs w:val="1"/>
          <w:color w:val="auto"/>
        </w:rPr>
      </w:pPr>
    </w:p>
    <w:p>
      <w:pPr>
        <w:jc w:val="both"/>
        <w:ind w:firstLine="656"/>
        <w:spacing w:after="0" w:line="287" w:lineRule="auto"/>
        <w:tabs>
          <w:tab w:leader="none" w:pos="1293" w:val="left"/>
        </w:tabs>
        <w:numPr>
          <w:ilvl w:val="0"/>
          <w:numId w:val="2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or Other Service Rights. </w:t>
      </w:r>
      <w:r>
        <w:rPr>
          <w:rFonts w:ascii="Arial" w:cs="Arial" w:eastAsia="Arial" w:hAnsi="Arial"/>
          <w:sz w:val="19"/>
          <w:szCs w:val="19"/>
          <w:color w:val="auto"/>
        </w:rPr>
        <w:t>Nothing in the Plan, any Award Agreement or any other instrument</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58" w:lineRule="exact"/>
        <w:rPr>
          <w:rFonts w:ascii="Arial" w:cs="Arial" w:eastAsia="Arial" w:hAnsi="Arial"/>
          <w:sz w:val="19"/>
          <w:szCs w:val="19"/>
          <w:b w:val="1"/>
          <w:bCs w:val="1"/>
          <w:color w:val="auto"/>
        </w:rPr>
      </w:pPr>
    </w:p>
    <w:p>
      <w:pPr>
        <w:jc w:val="both"/>
        <w:ind w:firstLine="656"/>
        <w:spacing w:after="0" w:line="291" w:lineRule="auto"/>
        <w:tabs>
          <w:tab w:leader="none" w:pos="1296" w:val="left"/>
        </w:tabs>
        <w:numPr>
          <w:ilvl w:val="0"/>
          <w:numId w:val="2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Change in Time Commitment. </w:t>
      </w:r>
      <w:r>
        <w:rPr>
          <w:rFonts w:ascii="Arial" w:cs="Arial" w:eastAsia="Arial" w:hAnsi="Arial"/>
          <w:sz w:val="19"/>
          <w:szCs w:val="19"/>
          <w:color w:val="auto"/>
        </w:rPr>
        <w:t>In the event a Participant’s regular level of time commitment in the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of their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48" w:lineRule="exact"/>
        <w:rPr>
          <w:rFonts w:ascii="Arial" w:cs="Arial" w:eastAsia="Arial" w:hAnsi="Arial"/>
          <w:sz w:val="19"/>
          <w:szCs w:val="19"/>
          <w:b w:val="1"/>
          <w:bCs w:val="1"/>
          <w:color w:val="auto"/>
        </w:rPr>
      </w:pPr>
    </w:p>
    <w:p>
      <w:pPr>
        <w:jc w:val="both"/>
        <w:ind w:firstLine="656"/>
        <w:spacing w:after="0" w:line="252" w:lineRule="auto"/>
        <w:tabs>
          <w:tab w:leader="none" w:pos="1291"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Execution of Additional Documents. </w:t>
      </w:r>
      <w:r>
        <w:rPr>
          <w:rFonts w:ascii="Arial" w:cs="Arial" w:eastAsia="Arial" w:hAnsi="Arial"/>
          <w:sz w:val="22"/>
          <w:szCs w:val="22"/>
          <w:color w:val="auto"/>
        </w:rPr>
        <w:t>As a condition to accepting an Award under the Plan, the Participant agrees</w:t>
      </w:r>
      <w:r>
        <w:rPr>
          <w:rFonts w:ascii="Arial" w:cs="Arial" w:eastAsia="Arial" w:hAnsi="Arial"/>
          <w:sz w:val="22"/>
          <w:szCs w:val="22"/>
          <w:b w:val="1"/>
          <w:bCs w:val="1"/>
          <w:color w:val="auto"/>
        </w:rPr>
        <w:t xml:space="preserve"> </w:t>
      </w:r>
      <w:r>
        <w:rPr>
          <w:rFonts w:ascii="Arial" w:cs="Arial" w:eastAsia="Arial" w:hAnsi="Arial"/>
          <w:sz w:val="22"/>
          <w:szCs w:val="22"/>
          <w:color w:val="auto"/>
        </w:rPr>
        <w:t>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9" w:lineRule="exact"/>
        <w:rPr>
          <w:rFonts w:ascii="Arial" w:cs="Arial" w:eastAsia="Arial" w:hAnsi="Arial"/>
          <w:sz w:val="22"/>
          <w:szCs w:val="22"/>
          <w:b w:val="1"/>
          <w:bCs w:val="1"/>
          <w:color w:val="auto"/>
        </w:rPr>
      </w:pPr>
    </w:p>
    <w:p>
      <w:pPr>
        <w:jc w:val="both"/>
        <w:ind w:firstLine="656"/>
        <w:spacing w:after="0" w:line="256" w:lineRule="auto"/>
        <w:tabs>
          <w:tab w:leader="none" w:pos="1290"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and Participation. </w:t>
      </w:r>
      <w:r>
        <w:rPr>
          <w:rFonts w:ascii="Arial" w:cs="Arial" w:eastAsia="Arial" w:hAnsi="Arial"/>
          <w:sz w:val="22"/>
          <w:szCs w:val="22"/>
          <w:color w:val="auto"/>
        </w:rPr>
        <w:t>Any reference herein or in an Award Agreement to a “written”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or document will include any agreement or document delivered electronically, filed publicly at www.sec.gov (or any successor website thereto)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2" w:right="339" w:bottom="1440" w:gutter="0" w:footer="0" w:header="0"/>
        </w:sectPr>
      </w:pPr>
    </w:p>
    <w:bookmarkStart w:id="281" w:name="page282"/>
    <w:bookmarkEnd w:id="281"/>
    <w:p>
      <w:pPr>
        <w:jc w:val="both"/>
        <w:spacing w:after="0" w:line="248" w:lineRule="auto"/>
        <w:rPr>
          <w:sz w:val="20"/>
          <w:szCs w:val="20"/>
          <w:color w:val="auto"/>
        </w:rPr>
      </w:pPr>
      <w:r>
        <w:rPr>
          <w:rFonts w:ascii="Arial" w:cs="Arial" w:eastAsia="Arial" w:hAnsi="Arial"/>
          <w:sz w:val="22"/>
          <w:szCs w:val="22"/>
          <w:color w:val="auto"/>
        </w:rPr>
        <w:t>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6" w:lineRule="exact"/>
        <w:rPr>
          <w:sz w:val="20"/>
          <w:szCs w:val="20"/>
          <w:color w:val="auto"/>
        </w:rPr>
      </w:pPr>
    </w:p>
    <w:p>
      <w:pPr>
        <w:jc w:val="both"/>
        <w:ind w:firstLine="656"/>
        <w:spacing w:after="0" w:line="259" w:lineRule="auto"/>
        <w:tabs>
          <w:tab w:leader="none" w:pos="1284" w:val="left"/>
        </w:tabs>
        <w:numPr>
          <w:ilvl w:val="0"/>
          <w:numId w:val="23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Clawback/Recovery. </w:t>
      </w:r>
      <w:r>
        <w:rPr>
          <w:rFonts w:ascii="Arial" w:cs="Arial" w:eastAsia="Arial" w:hAnsi="Arial"/>
          <w:sz w:val="21"/>
          <w:szCs w:val="21"/>
          <w:color w:val="auto"/>
        </w:rPr>
        <w:t>All Awards granted under the Plan will be subject to recoupment in accordance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75" w:lineRule="exact"/>
        <w:rPr>
          <w:rFonts w:ascii="Arial" w:cs="Arial" w:eastAsia="Arial" w:hAnsi="Arial"/>
          <w:sz w:val="21"/>
          <w:szCs w:val="21"/>
          <w:b w:val="1"/>
          <w:bCs w:val="1"/>
          <w:color w:val="auto"/>
        </w:rPr>
      </w:pPr>
    </w:p>
    <w:p>
      <w:pPr>
        <w:jc w:val="both"/>
        <w:ind w:firstLine="656"/>
        <w:spacing w:after="0" w:line="249" w:lineRule="auto"/>
        <w:tabs>
          <w:tab w:leader="none" w:pos="1296" w:val="left"/>
        </w:tabs>
        <w:numPr>
          <w:ilvl w:val="0"/>
          <w:numId w:val="2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Securities Law Compliance. </w:t>
      </w:r>
      <w:r>
        <w:rPr>
          <w:rFonts w:ascii="Arial" w:cs="Arial" w:eastAsia="Arial" w:hAnsi="Arial"/>
          <w:sz w:val="22"/>
          <w:szCs w:val="22"/>
          <w:color w:val="auto"/>
        </w:rPr>
        <w:t>A Participant will not be issued any shares in respect of an Award unless either (i)</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86" w:lineRule="exact"/>
        <w:rPr>
          <w:rFonts w:ascii="Arial" w:cs="Arial" w:eastAsia="Arial" w:hAnsi="Arial"/>
          <w:sz w:val="22"/>
          <w:szCs w:val="22"/>
          <w:b w:val="1"/>
          <w:bCs w:val="1"/>
          <w:color w:val="auto"/>
        </w:rPr>
      </w:pPr>
    </w:p>
    <w:p>
      <w:pPr>
        <w:jc w:val="both"/>
        <w:ind w:firstLine="656"/>
        <w:spacing w:after="0" w:line="298" w:lineRule="auto"/>
        <w:tabs>
          <w:tab w:leader="none" w:pos="1290" w:val="left"/>
        </w:tabs>
        <w:numPr>
          <w:ilvl w:val="0"/>
          <w:numId w:val="2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or Assignment of Awards; Issued Shares. </w:t>
      </w:r>
      <w:r>
        <w:rPr>
          <w:rFonts w:ascii="Arial" w:cs="Arial" w:eastAsia="Arial" w:hAnsi="Arial"/>
          <w:sz w:val="19"/>
          <w:szCs w:val="19"/>
          <w:color w:val="auto"/>
        </w:rPr>
        <w:t>Except as expressly provided in the Plan or the form of</w:t>
      </w:r>
      <w:r>
        <w:rPr>
          <w:rFonts w:ascii="Arial" w:cs="Arial" w:eastAsia="Arial" w:hAnsi="Arial"/>
          <w:sz w:val="19"/>
          <w:szCs w:val="19"/>
          <w:b w:val="1"/>
          <w:bCs w:val="1"/>
          <w:color w:val="auto"/>
        </w:rPr>
        <w:t xml:space="preserve"> </w:t>
      </w:r>
      <w:r>
        <w:rPr>
          <w:rFonts w:ascii="Arial" w:cs="Arial" w:eastAsia="Arial" w:hAnsi="Arial"/>
          <w:sz w:val="19"/>
          <w:szCs w:val="19"/>
          <w:color w:val="auto"/>
        </w:rPr>
        <w:t>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42" w:lineRule="exact"/>
        <w:rPr>
          <w:rFonts w:ascii="Arial" w:cs="Arial" w:eastAsia="Arial" w:hAnsi="Arial"/>
          <w:sz w:val="19"/>
          <w:szCs w:val="19"/>
          <w:b w:val="1"/>
          <w:bCs w:val="1"/>
          <w:color w:val="auto"/>
        </w:rPr>
      </w:pPr>
    </w:p>
    <w:p>
      <w:pPr>
        <w:jc w:val="both"/>
        <w:ind w:firstLine="656"/>
        <w:spacing w:after="0" w:line="249" w:lineRule="auto"/>
        <w:tabs>
          <w:tab w:leader="none" w:pos="1284" w:val="left"/>
        </w:tabs>
        <w:numPr>
          <w:ilvl w:val="0"/>
          <w:numId w:val="2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on Other Employee Benefit Plans. </w:t>
      </w:r>
      <w:r>
        <w:rPr>
          <w:rFonts w:ascii="Arial" w:cs="Arial" w:eastAsia="Arial" w:hAnsi="Arial"/>
          <w:sz w:val="22"/>
          <w:szCs w:val="22"/>
          <w:color w:val="auto"/>
        </w:rPr>
        <w:t>The value of any Award granted under the Plan, as determined upon</w:t>
      </w:r>
      <w:r>
        <w:rPr>
          <w:rFonts w:ascii="Arial" w:cs="Arial" w:eastAsia="Arial" w:hAnsi="Arial"/>
          <w:sz w:val="22"/>
          <w:szCs w:val="22"/>
          <w:b w:val="1"/>
          <w:bCs w:val="1"/>
          <w:color w:val="auto"/>
        </w:rPr>
        <w:t xml:space="preserve"> </w:t>
      </w:r>
      <w:r>
        <w:rPr>
          <w:rFonts w:ascii="Arial" w:cs="Arial" w:eastAsia="Arial" w:hAnsi="Arial"/>
          <w:sz w:val="22"/>
          <w:szCs w:val="22"/>
          <w:color w:val="auto"/>
        </w:rPr>
        <w:t>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86"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2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Deferrals. </w:t>
      </w:r>
      <w:r>
        <w:rPr>
          <w:rFonts w:ascii="Arial" w:cs="Arial" w:eastAsia="Arial" w:hAnsi="Arial"/>
          <w:sz w:val="22"/>
          <w:szCs w:val="22"/>
          <w:color w:val="auto"/>
        </w:rPr>
        <w:t>To the extent permitted by Applicable Law, the Board, in its sole discretion, may determine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of Common Stock or the payment of cash, upon the exercise, vesting or settlement of all or a portion of any Award may be deferred and may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282" w:name="page283"/>
    <w:bookmarkEnd w:id="282"/>
    <w:p>
      <w:pPr>
        <w:spacing w:after="0" w:line="263" w:lineRule="auto"/>
        <w:rPr>
          <w:sz w:val="20"/>
          <w:szCs w:val="20"/>
          <w:color w:val="auto"/>
        </w:rPr>
      </w:pPr>
      <w:r>
        <w:rPr>
          <w:rFonts w:ascii="Arial" w:cs="Arial" w:eastAsia="Arial" w:hAnsi="Arial"/>
          <w:sz w:val="22"/>
          <w:szCs w:val="22"/>
          <w:color w:val="auto"/>
        </w:rPr>
        <w:t>establish programs and procedures for deferral elections to be made by Participants. Deferrals will be made in accordance with the requirements of Section 409A.</w:t>
      </w:r>
    </w:p>
    <w:p>
      <w:pPr>
        <w:spacing w:after="0" w:line="169" w:lineRule="exact"/>
        <w:rPr>
          <w:sz w:val="20"/>
          <w:szCs w:val="20"/>
          <w:color w:val="auto"/>
        </w:rPr>
      </w:pPr>
    </w:p>
    <w:p>
      <w:pPr>
        <w:jc w:val="both"/>
        <w:ind w:firstLine="656"/>
        <w:spacing w:after="0" w:line="286" w:lineRule="auto"/>
        <w:tabs>
          <w:tab w:leader="none" w:pos="1290" w:val="left"/>
        </w:tabs>
        <w:numPr>
          <w:ilvl w:val="1"/>
          <w:numId w:val="2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Unless otherwise expressly provided for in an Award Agreement, the Plan and Award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61" w:lineRule="exact"/>
        <w:rPr>
          <w:rFonts w:ascii="Arial" w:cs="Arial" w:eastAsia="Arial" w:hAnsi="Arial"/>
          <w:sz w:val="19"/>
          <w:szCs w:val="19"/>
          <w:b w:val="1"/>
          <w:bCs w:val="1"/>
          <w:color w:val="auto"/>
        </w:rPr>
      </w:pPr>
    </w:p>
    <w:p>
      <w:pPr>
        <w:jc w:val="both"/>
        <w:ind w:firstLine="656"/>
        <w:spacing w:after="0" w:line="256" w:lineRule="auto"/>
        <w:tabs>
          <w:tab w:leader="none" w:pos="1291" w:val="left"/>
        </w:tabs>
        <w:numPr>
          <w:ilvl w:val="1"/>
          <w:numId w:val="2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Choice of Law. </w:t>
      </w:r>
      <w:r>
        <w:rPr>
          <w:rFonts w:ascii="Arial" w:cs="Arial" w:eastAsia="Arial" w:hAnsi="Arial"/>
          <w:sz w:val="22"/>
          <w:szCs w:val="22"/>
          <w:color w:val="auto"/>
        </w:rPr>
        <w:t>This Plan and any controversy arising out of or relating to this Plan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in accordance with, the internal laws of the State of Delaware, without regard to conflict of law principles that would result in any application of any law other than the law of the State of Delaware.</w:t>
      </w:r>
    </w:p>
    <w:p>
      <w:pPr>
        <w:spacing w:after="0" w:line="176" w:lineRule="exact"/>
        <w:rPr>
          <w:rFonts w:ascii="Arial" w:cs="Arial" w:eastAsia="Arial" w:hAnsi="Arial"/>
          <w:sz w:val="22"/>
          <w:szCs w:val="22"/>
          <w:b w:val="1"/>
          <w:bCs w:val="1"/>
          <w:color w:val="auto"/>
        </w:rPr>
      </w:pPr>
    </w:p>
    <w:p>
      <w:pPr>
        <w:ind w:left="660" w:hanging="652"/>
        <w:spacing w:after="0"/>
        <w:tabs>
          <w:tab w:leader="none" w:pos="660" w:val="left"/>
        </w:tabs>
        <w:numPr>
          <w:ilvl w:val="0"/>
          <w:numId w:val="237"/>
        </w:numPr>
        <w:rPr>
          <w:rFonts w:ascii="Arial" w:cs="Arial" w:eastAsia="Arial" w:hAnsi="Arial"/>
          <w:sz w:val="22"/>
          <w:szCs w:val="22"/>
          <w:b w:val="1"/>
          <w:bCs w:val="1"/>
          <w:color w:val="auto"/>
        </w:rPr>
      </w:pPr>
      <w:r>
        <w:rPr>
          <w:rFonts w:ascii="Arial" w:cs="Arial" w:eastAsia="Arial" w:hAnsi="Arial"/>
          <w:sz w:val="22"/>
          <w:szCs w:val="22"/>
          <w:b w:val="1"/>
          <w:bCs w:val="1"/>
          <w:color w:val="auto"/>
        </w:rPr>
        <w:t>Covenants of the Company.</w:t>
      </w: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283" w:name="page284"/>
    <w:bookmarkEnd w:id="283"/>
    <w:p>
      <w:pPr>
        <w:ind w:left="640" w:hanging="632"/>
        <w:spacing w:after="0"/>
        <w:tabs>
          <w:tab w:leader="none" w:pos="640" w:val="left"/>
        </w:tabs>
        <w:numPr>
          <w:ilvl w:val="0"/>
          <w:numId w:val="238"/>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Rules for Awards Subject to Section 409A.</w:t>
      </w:r>
    </w:p>
    <w:p>
      <w:pPr>
        <w:spacing w:after="0" w:line="219" w:lineRule="exact"/>
        <w:rPr>
          <w:rFonts w:ascii="Arial" w:cs="Arial" w:eastAsia="Arial" w:hAnsi="Arial"/>
          <w:sz w:val="22"/>
          <w:szCs w:val="22"/>
          <w:b w:val="1"/>
          <w:bCs w:val="1"/>
          <w:color w:val="auto"/>
        </w:rPr>
      </w:pPr>
    </w:p>
    <w:p>
      <w:pPr>
        <w:jc w:val="both"/>
        <w:ind w:firstLine="656"/>
        <w:spacing w:after="0" w:line="256" w:lineRule="auto"/>
        <w:tabs>
          <w:tab w:leader="none" w:pos="1291" w:val="left"/>
        </w:tabs>
        <w:numPr>
          <w:ilvl w:val="1"/>
          <w:numId w:val="2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Application. </w:t>
      </w:r>
      <w:r>
        <w:rPr>
          <w:rFonts w:ascii="Arial" w:cs="Arial" w:eastAsia="Arial" w:hAnsi="Arial"/>
          <w:sz w:val="22"/>
          <w:szCs w:val="22"/>
          <w:color w:val="auto"/>
        </w:rPr>
        <w:t>Unless the provisions of this Section of the Plan are expressly superseded by the provisions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form of Award Agreement, the provisions of this Section shall apply and shall supersede anything to the contrary set forth in the Award Agreement for a Non-Exempt Award.</w:t>
      </w:r>
    </w:p>
    <w:p>
      <w:pPr>
        <w:spacing w:after="0" w:line="176" w:lineRule="exact"/>
        <w:rPr>
          <w:rFonts w:ascii="Arial" w:cs="Arial" w:eastAsia="Arial" w:hAnsi="Arial"/>
          <w:sz w:val="22"/>
          <w:szCs w:val="22"/>
          <w:b w:val="1"/>
          <w:bCs w:val="1"/>
          <w:color w:val="auto"/>
        </w:rPr>
      </w:pPr>
    </w:p>
    <w:p>
      <w:pPr>
        <w:jc w:val="both"/>
        <w:ind w:firstLine="656"/>
        <w:spacing w:after="0" w:line="294" w:lineRule="auto"/>
        <w:tabs>
          <w:tab w:leader="none" w:pos="1290" w:val="left"/>
        </w:tabs>
        <w:numPr>
          <w:ilvl w:val="1"/>
          <w:numId w:val="23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Non-Exempt Awards Subject to Non-Exempt Severance Arrangements. </w:t>
      </w:r>
      <w:r>
        <w:rPr>
          <w:rFonts w:ascii="Arial" w:cs="Arial" w:eastAsia="Arial" w:hAnsi="Arial"/>
          <w:sz w:val="19"/>
          <w:szCs w:val="19"/>
          <w:color w:val="auto"/>
        </w:rPr>
        <w:t>To the extent a Non-Exempt Award is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409A due to application of a Non-Exempt Severance Arrangement, the following provisions of this subsection</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(b) apply.</w:t>
      </w:r>
    </w:p>
    <w:p>
      <w:pPr>
        <w:spacing w:after="0" w:line="201" w:lineRule="exact"/>
        <w:rPr>
          <w:rFonts w:ascii="Arial" w:cs="Arial" w:eastAsia="Arial" w:hAnsi="Arial"/>
          <w:sz w:val="19"/>
          <w:szCs w:val="19"/>
          <w:b w:val="1"/>
          <w:bCs w:val="1"/>
          <w:color w:val="auto"/>
        </w:rPr>
      </w:pPr>
    </w:p>
    <w:p>
      <w:pPr>
        <w:jc w:val="both"/>
        <w:ind w:left="80" w:firstLine="1305"/>
        <w:spacing w:after="0" w:line="222" w:lineRule="auto"/>
        <w:tabs>
          <w:tab w:leader="none" w:pos="1931" w:val="left"/>
        </w:tabs>
        <w:numPr>
          <w:ilvl w:val="2"/>
          <w:numId w:val="238"/>
        </w:numPr>
        <w:rPr>
          <w:rFonts w:ascii="Arial" w:cs="Arial" w:eastAsia="Arial" w:hAnsi="Arial"/>
          <w:sz w:val="22"/>
          <w:szCs w:val="22"/>
          <w:b w:val="1"/>
          <w:bCs w:val="1"/>
          <w:color w:val="auto"/>
        </w:rPr>
      </w:pPr>
      <w:r>
        <w:rPr>
          <w:rFonts w:ascii="Arial" w:cs="Arial" w:eastAsia="Arial" w:hAnsi="Arial"/>
          <w:sz w:val="22"/>
          <w:szCs w:val="22"/>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calendar year that includes the applicable vesting date, or (ii)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that follows the applicable vesting date.</w:t>
      </w:r>
    </w:p>
    <w:p>
      <w:pPr>
        <w:spacing w:after="0" w:line="200" w:lineRule="exact"/>
        <w:rPr>
          <w:rFonts w:ascii="Arial" w:cs="Arial" w:eastAsia="Arial" w:hAnsi="Arial"/>
          <w:sz w:val="22"/>
          <w:szCs w:val="22"/>
          <w:b w:val="1"/>
          <w:bCs w:val="1"/>
          <w:color w:val="auto"/>
        </w:rPr>
      </w:pPr>
    </w:p>
    <w:p>
      <w:pPr>
        <w:jc w:val="both"/>
        <w:ind w:left="80" w:firstLine="1305"/>
        <w:spacing w:after="0" w:line="278" w:lineRule="auto"/>
        <w:tabs>
          <w:tab w:leader="none" w:pos="1937" w:val="left"/>
        </w:tabs>
        <w:numPr>
          <w:ilvl w:val="2"/>
          <w:numId w:val="238"/>
        </w:numPr>
        <w:rPr>
          <w:rFonts w:ascii="Arial" w:cs="Arial" w:eastAsia="Arial" w:hAnsi="Arial"/>
          <w:sz w:val="19"/>
          <w:szCs w:val="19"/>
          <w:b w:val="1"/>
          <w:bCs w:val="1"/>
          <w:color w:val="auto"/>
        </w:rPr>
      </w:pPr>
      <w:r>
        <w:rPr>
          <w:rFonts w:ascii="Arial" w:cs="Arial" w:eastAsia="Arial" w:hAnsi="Arial"/>
          <w:sz w:val="19"/>
          <w:szCs w:val="19"/>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66" w:lineRule="exact"/>
        <w:rPr>
          <w:rFonts w:ascii="Arial" w:cs="Arial" w:eastAsia="Arial" w:hAnsi="Arial"/>
          <w:sz w:val="19"/>
          <w:szCs w:val="19"/>
          <w:b w:val="1"/>
          <w:bCs w:val="1"/>
          <w:color w:val="auto"/>
        </w:rPr>
      </w:pPr>
    </w:p>
    <w:p>
      <w:pPr>
        <w:jc w:val="both"/>
        <w:ind w:left="80" w:firstLine="1305"/>
        <w:spacing w:after="0" w:line="290" w:lineRule="auto"/>
        <w:tabs>
          <w:tab w:leader="none" w:pos="1943" w:val="left"/>
        </w:tabs>
        <w:numPr>
          <w:ilvl w:val="2"/>
          <w:numId w:val="238"/>
        </w:numPr>
        <w:rPr>
          <w:rFonts w:ascii="Arial" w:cs="Arial" w:eastAsia="Arial" w:hAnsi="Arial"/>
          <w:sz w:val="19"/>
          <w:szCs w:val="19"/>
          <w:b w:val="1"/>
          <w:bCs w:val="1"/>
          <w:color w:val="auto"/>
        </w:rPr>
      </w:pPr>
      <w:r>
        <w:rPr>
          <w:rFonts w:ascii="Arial" w:cs="Arial" w:eastAsia="Arial" w:hAnsi="Arial"/>
          <w:sz w:val="19"/>
          <w:szCs w:val="19"/>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49" w:lineRule="exact"/>
        <w:rPr>
          <w:rFonts w:ascii="Arial" w:cs="Arial" w:eastAsia="Arial" w:hAnsi="Arial"/>
          <w:sz w:val="19"/>
          <w:szCs w:val="19"/>
          <w:b w:val="1"/>
          <w:bCs w:val="1"/>
          <w:color w:val="auto"/>
        </w:rPr>
      </w:pPr>
    </w:p>
    <w:p>
      <w:pPr>
        <w:jc w:val="both"/>
        <w:ind w:firstLine="656"/>
        <w:spacing w:after="0" w:line="256" w:lineRule="auto"/>
        <w:tabs>
          <w:tab w:leader="none" w:pos="1293" w:val="left"/>
        </w:tabs>
        <w:numPr>
          <w:ilvl w:val="1"/>
          <w:numId w:val="2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Treatment of Non-Exempt Awards Upon a Corporate Transaction for Employees and Consultants. </w:t>
      </w:r>
      <w:r>
        <w:rPr>
          <w:rFonts w:ascii="Arial" w:cs="Arial" w:eastAsia="Arial" w:hAnsi="Arial"/>
          <w:sz w:val="22"/>
          <w:szCs w:val="22"/>
          <w:color w:val="auto"/>
        </w:rPr>
        <w:t>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this subsection (c) shall apply and shall supersede anything to the contrary set forth in the Plan with respect to the permitted treatment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2" w:right="339" w:bottom="1440" w:gutter="0" w:footer="0" w:header="0"/>
        </w:sectPr>
      </w:pPr>
    </w:p>
    <w:bookmarkStart w:id="284" w:name="page285"/>
    <w:bookmarkEnd w:id="284"/>
    <w:p>
      <w:pPr>
        <w:spacing w:after="0" w:line="263" w:lineRule="auto"/>
        <w:rPr>
          <w:sz w:val="20"/>
          <w:szCs w:val="20"/>
          <w:color w:val="auto"/>
        </w:rPr>
      </w:pPr>
      <w:r>
        <w:rPr>
          <w:rFonts w:ascii="Arial" w:cs="Arial" w:eastAsia="Arial" w:hAnsi="Arial"/>
          <w:sz w:val="22"/>
          <w:szCs w:val="22"/>
          <w:color w:val="auto"/>
        </w:rPr>
        <w:t>any Non-Exempt Award in connection with a Corporate Transaction if the Participant was either an Employee or Consultant upon the applicable date of grant of the Non-Exempt Award.</w:t>
      </w:r>
    </w:p>
    <w:p>
      <w:pPr>
        <w:spacing w:after="0" w:line="169" w:lineRule="exact"/>
        <w:rPr>
          <w:sz w:val="20"/>
          <w:szCs w:val="20"/>
          <w:color w:val="auto"/>
        </w:rPr>
      </w:pPr>
    </w:p>
    <w:p>
      <w:pPr>
        <w:ind w:left="80" w:firstLine="1305"/>
        <w:spacing w:after="0" w:line="269" w:lineRule="auto"/>
        <w:tabs>
          <w:tab w:leader="none" w:pos="1931" w:val="left"/>
        </w:tabs>
        <w:numPr>
          <w:ilvl w:val="0"/>
          <w:numId w:val="2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Vested Non-Exempt Awards. </w:t>
      </w:r>
      <w:r>
        <w:rPr>
          <w:rFonts w:ascii="Arial" w:cs="Arial" w:eastAsia="Arial" w:hAnsi="Arial"/>
          <w:sz w:val="22"/>
          <w:szCs w:val="22"/>
          <w:color w:val="auto"/>
        </w:rPr>
        <w:t>The following provisions shall apply to any Vested Non-Exempt Award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a Corporate Transaction:</w:t>
      </w:r>
    </w:p>
    <w:p>
      <w:pPr>
        <w:spacing w:after="0" w:line="167" w:lineRule="exact"/>
        <w:rPr>
          <w:rFonts w:ascii="Arial" w:cs="Arial" w:eastAsia="Arial" w:hAnsi="Arial"/>
          <w:sz w:val="22"/>
          <w:szCs w:val="22"/>
          <w:b w:val="1"/>
          <w:bCs w:val="1"/>
          <w:color w:val="auto"/>
        </w:rPr>
      </w:pPr>
    </w:p>
    <w:p>
      <w:pPr>
        <w:jc w:val="both"/>
        <w:ind w:firstLine="1952"/>
        <w:spacing w:after="0" w:line="247" w:lineRule="auto"/>
        <w:tabs>
          <w:tab w:leader="none" w:pos="2587" w:val="left"/>
        </w:tabs>
        <w:numPr>
          <w:ilvl w:val="1"/>
          <w:numId w:val="239"/>
        </w:numPr>
        <w:rPr>
          <w:rFonts w:ascii="Arial" w:cs="Arial" w:eastAsia="Arial" w:hAnsi="Arial"/>
          <w:sz w:val="22"/>
          <w:szCs w:val="22"/>
          <w:b w:val="1"/>
          <w:bCs w:val="1"/>
          <w:color w:val="auto"/>
        </w:rPr>
      </w:pPr>
      <w:r>
        <w:rPr>
          <w:rFonts w:ascii="Arial" w:cs="Arial" w:eastAsia="Arial" w:hAnsi="Arial"/>
          <w:sz w:val="22"/>
          <w:szCs w:val="22"/>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92" w:lineRule="exact"/>
        <w:rPr>
          <w:rFonts w:ascii="Arial" w:cs="Arial" w:eastAsia="Arial" w:hAnsi="Arial"/>
          <w:sz w:val="22"/>
          <w:szCs w:val="22"/>
          <w:b w:val="1"/>
          <w:bCs w:val="1"/>
          <w:color w:val="auto"/>
        </w:rPr>
      </w:pPr>
    </w:p>
    <w:p>
      <w:pPr>
        <w:jc w:val="both"/>
        <w:ind w:firstLine="1952"/>
        <w:spacing w:after="0" w:line="292" w:lineRule="auto"/>
        <w:tabs>
          <w:tab w:leader="none" w:pos="2587" w:val="left"/>
        </w:tabs>
        <w:numPr>
          <w:ilvl w:val="1"/>
          <w:numId w:val="239"/>
        </w:numPr>
        <w:rPr>
          <w:rFonts w:ascii="Arial" w:cs="Arial" w:eastAsia="Arial" w:hAnsi="Arial"/>
          <w:sz w:val="19"/>
          <w:szCs w:val="19"/>
          <w:b w:val="1"/>
          <w:bCs w:val="1"/>
          <w:color w:val="auto"/>
        </w:rPr>
      </w:pPr>
      <w:r>
        <w:rPr>
          <w:rFonts w:ascii="Arial" w:cs="Arial" w:eastAsia="Arial" w:hAnsi="Arial"/>
          <w:sz w:val="19"/>
          <w:szCs w:val="19"/>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44" w:lineRule="exact"/>
        <w:rPr>
          <w:rFonts w:ascii="Arial" w:cs="Arial" w:eastAsia="Arial" w:hAnsi="Arial"/>
          <w:sz w:val="19"/>
          <w:szCs w:val="19"/>
          <w:b w:val="1"/>
          <w:bCs w:val="1"/>
          <w:color w:val="auto"/>
        </w:rPr>
      </w:pPr>
    </w:p>
    <w:p>
      <w:pPr>
        <w:ind w:left="80" w:right="20" w:firstLine="1305"/>
        <w:spacing w:after="0" w:line="269" w:lineRule="auto"/>
        <w:tabs>
          <w:tab w:leader="none" w:pos="1937" w:val="left"/>
        </w:tabs>
        <w:numPr>
          <w:ilvl w:val="0"/>
          <w:numId w:val="2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Unvested Non-Exempt Awards. </w:t>
      </w:r>
      <w:r>
        <w:rPr>
          <w:rFonts w:ascii="Arial" w:cs="Arial" w:eastAsia="Arial" w:hAnsi="Arial"/>
          <w:sz w:val="22"/>
          <w:szCs w:val="22"/>
          <w:color w:val="auto"/>
        </w:rPr>
        <w:t>The following provisions shall apply to any Unvested Non-Exempt</w:t>
      </w:r>
      <w:r>
        <w:rPr>
          <w:rFonts w:ascii="Arial" w:cs="Arial" w:eastAsia="Arial" w:hAnsi="Arial"/>
          <w:sz w:val="22"/>
          <w:szCs w:val="22"/>
          <w:b w:val="1"/>
          <w:bCs w:val="1"/>
          <w:color w:val="auto"/>
        </w:rPr>
        <w:t xml:space="preserve"> </w:t>
      </w:r>
      <w:r>
        <w:rPr>
          <w:rFonts w:ascii="Arial" w:cs="Arial" w:eastAsia="Arial" w:hAnsi="Arial"/>
          <w:sz w:val="22"/>
          <w:szCs w:val="22"/>
          <w:color w:val="auto"/>
        </w:rPr>
        <w:t>Award unless otherwise determined by the Board pursuant to subsection (e) of this Section.</w:t>
      </w:r>
    </w:p>
    <w:p>
      <w:pPr>
        <w:spacing w:after="0" w:line="167" w:lineRule="exact"/>
        <w:rPr>
          <w:rFonts w:ascii="Arial" w:cs="Arial" w:eastAsia="Arial" w:hAnsi="Arial"/>
          <w:sz w:val="22"/>
          <w:szCs w:val="22"/>
          <w:b w:val="1"/>
          <w:bCs w:val="1"/>
          <w:color w:val="auto"/>
        </w:rPr>
      </w:pPr>
    </w:p>
    <w:p>
      <w:pPr>
        <w:jc w:val="both"/>
        <w:ind w:firstLine="1952"/>
        <w:spacing w:after="0" w:line="290" w:lineRule="auto"/>
        <w:tabs>
          <w:tab w:leader="none" w:pos="2587" w:val="left"/>
        </w:tabs>
        <w:numPr>
          <w:ilvl w:val="1"/>
          <w:numId w:val="239"/>
        </w:numPr>
        <w:rPr>
          <w:rFonts w:ascii="Arial" w:cs="Arial" w:eastAsia="Arial" w:hAnsi="Arial"/>
          <w:sz w:val="19"/>
          <w:szCs w:val="19"/>
          <w:b w:val="1"/>
          <w:bCs w:val="1"/>
          <w:color w:val="auto"/>
        </w:rPr>
      </w:pPr>
      <w:r>
        <w:rPr>
          <w:rFonts w:ascii="Arial" w:cs="Arial" w:eastAsia="Arial" w:hAnsi="Arial"/>
          <w:sz w:val="19"/>
          <w:szCs w:val="19"/>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55" w:lineRule="exact"/>
        <w:rPr>
          <w:rFonts w:ascii="Arial" w:cs="Arial" w:eastAsia="Arial" w:hAnsi="Arial"/>
          <w:sz w:val="19"/>
          <w:szCs w:val="19"/>
          <w:b w:val="1"/>
          <w:bCs w:val="1"/>
          <w:color w:val="auto"/>
        </w:rPr>
      </w:pPr>
    </w:p>
    <w:p>
      <w:pPr>
        <w:jc w:val="both"/>
        <w:ind w:firstLine="1952"/>
        <w:spacing w:after="0" w:line="248" w:lineRule="auto"/>
        <w:tabs>
          <w:tab w:leader="none" w:pos="2587" w:val="left"/>
        </w:tabs>
        <w:numPr>
          <w:ilvl w:val="1"/>
          <w:numId w:val="239"/>
        </w:numPr>
        <w:rPr>
          <w:rFonts w:ascii="Arial" w:cs="Arial" w:eastAsia="Arial" w:hAnsi="Arial"/>
          <w:sz w:val="22"/>
          <w:szCs w:val="22"/>
          <w:b w:val="1"/>
          <w:bCs w:val="1"/>
          <w:color w:val="auto"/>
        </w:rPr>
      </w:pPr>
      <w:r>
        <w:rPr>
          <w:rFonts w:ascii="Arial" w:cs="Arial" w:eastAsia="Arial" w:hAnsi="Arial"/>
          <w:sz w:val="22"/>
          <w:szCs w:val="22"/>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285" w:name="page286"/>
    <w:bookmarkEnd w:id="285"/>
    <w:p>
      <w:pPr>
        <w:jc w:val="both"/>
        <w:spacing w:after="0" w:line="263" w:lineRule="auto"/>
        <w:rPr>
          <w:sz w:val="20"/>
          <w:szCs w:val="20"/>
          <w:color w:val="auto"/>
        </w:rPr>
      </w:pPr>
      <w:r>
        <w:rPr>
          <w:rFonts w:ascii="Arial" w:cs="Arial" w:eastAsia="Arial" w:hAnsi="Arial"/>
          <w:sz w:val="21"/>
          <w:szCs w:val="21"/>
          <w:color w:val="auto"/>
        </w:rPr>
        <w:t>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75" w:lineRule="exact"/>
        <w:rPr>
          <w:sz w:val="20"/>
          <w:szCs w:val="20"/>
          <w:color w:val="auto"/>
        </w:rPr>
      </w:pPr>
    </w:p>
    <w:p>
      <w:pPr>
        <w:ind w:firstLine="1952"/>
        <w:spacing w:after="0" w:line="343" w:lineRule="auto"/>
        <w:tabs>
          <w:tab w:leader="none" w:pos="2587" w:val="left"/>
        </w:tabs>
        <w:numPr>
          <w:ilvl w:val="2"/>
          <w:numId w:val="240"/>
        </w:numPr>
        <w:rPr>
          <w:rFonts w:ascii="Arial" w:cs="Arial" w:eastAsia="Arial" w:hAnsi="Arial"/>
          <w:sz w:val="19"/>
          <w:szCs w:val="19"/>
          <w:b w:val="1"/>
          <w:bCs w:val="1"/>
          <w:color w:val="auto"/>
        </w:rPr>
      </w:pPr>
      <w:r>
        <w:rPr>
          <w:rFonts w:ascii="Arial" w:cs="Arial" w:eastAsia="Arial" w:hAnsi="Arial"/>
          <w:sz w:val="19"/>
          <w:szCs w:val="19"/>
          <w:color w:val="auto"/>
        </w:rPr>
        <w:t>The foregoing treatment shall apply with respect to all Unvested Non-Exempt Awards upon any Corporate Transaction, and regardless of whether or not such Corporate Transaction is also a Section 409A Change in Control.</w:t>
      </w:r>
    </w:p>
    <w:p>
      <w:pPr>
        <w:spacing w:after="0" w:line="98" w:lineRule="exact"/>
        <w:rPr>
          <w:rFonts w:ascii="Arial" w:cs="Arial" w:eastAsia="Arial" w:hAnsi="Arial"/>
          <w:sz w:val="19"/>
          <w:szCs w:val="19"/>
          <w:b w:val="1"/>
          <w:bCs w:val="1"/>
          <w:color w:val="auto"/>
        </w:rPr>
      </w:pPr>
    </w:p>
    <w:p>
      <w:pPr>
        <w:jc w:val="both"/>
        <w:ind w:firstLine="656"/>
        <w:spacing w:after="0" w:line="315" w:lineRule="auto"/>
        <w:tabs>
          <w:tab w:leader="none" w:pos="1290" w:val="left"/>
        </w:tabs>
        <w:numPr>
          <w:ilvl w:val="0"/>
          <w:numId w:val="2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Treatment of Non-Exempt Awards Upon a Corporate Transaction for Non-Employee Directors. </w:t>
      </w:r>
      <w:r>
        <w:rPr>
          <w:rFonts w:ascii="Arial" w:cs="Arial" w:eastAsia="Arial" w:hAnsi="Arial"/>
          <w:sz w:val="19"/>
          <w:szCs w:val="19"/>
          <w:color w:val="auto"/>
        </w:rPr>
        <w:t>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provisions of this subsection (d) shall apply and shall supersede anything to the contrary that may be set forth in the Plan with respect to the permitted treatment of a Non-Exempt Director Award in connection with a Corporate Transaction.</w:t>
      </w:r>
    </w:p>
    <w:p>
      <w:pPr>
        <w:spacing w:after="0" w:line="131" w:lineRule="exact"/>
        <w:rPr>
          <w:rFonts w:ascii="Arial" w:cs="Arial" w:eastAsia="Arial" w:hAnsi="Arial"/>
          <w:sz w:val="19"/>
          <w:szCs w:val="19"/>
          <w:b w:val="1"/>
          <w:bCs w:val="1"/>
          <w:color w:val="auto"/>
        </w:rPr>
      </w:pPr>
    </w:p>
    <w:p>
      <w:pPr>
        <w:jc w:val="both"/>
        <w:ind w:left="80" w:firstLine="1305"/>
        <w:spacing w:after="0" w:line="294" w:lineRule="auto"/>
        <w:tabs>
          <w:tab w:leader="none" w:pos="1931" w:val="left"/>
        </w:tabs>
        <w:numPr>
          <w:ilvl w:val="1"/>
          <w:numId w:val="241"/>
        </w:numPr>
        <w:rPr>
          <w:rFonts w:ascii="Arial" w:cs="Arial" w:eastAsia="Arial" w:hAnsi="Arial"/>
          <w:sz w:val="19"/>
          <w:szCs w:val="19"/>
          <w:b w:val="1"/>
          <w:bCs w:val="1"/>
          <w:color w:val="auto"/>
        </w:rPr>
      </w:pPr>
      <w:r>
        <w:rPr>
          <w:rFonts w:ascii="Arial" w:cs="Arial" w:eastAsia="Arial" w:hAnsi="Arial"/>
          <w:sz w:val="19"/>
          <w:szCs w:val="19"/>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49" w:lineRule="exact"/>
        <w:rPr>
          <w:rFonts w:ascii="Arial" w:cs="Arial" w:eastAsia="Arial" w:hAnsi="Arial"/>
          <w:sz w:val="19"/>
          <w:szCs w:val="19"/>
          <w:b w:val="1"/>
          <w:bCs w:val="1"/>
          <w:color w:val="auto"/>
        </w:rPr>
      </w:pPr>
    </w:p>
    <w:p>
      <w:pPr>
        <w:jc w:val="both"/>
        <w:ind w:left="80" w:firstLine="1305"/>
        <w:spacing w:after="0" w:line="259" w:lineRule="auto"/>
        <w:tabs>
          <w:tab w:leader="none" w:pos="1937" w:val="left"/>
        </w:tabs>
        <w:numPr>
          <w:ilvl w:val="1"/>
          <w:numId w:val="241"/>
        </w:numPr>
        <w:rPr>
          <w:rFonts w:ascii="Arial" w:cs="Arial" w:eastAsia="Arial" w:hAnsi="Arial"/>
          <w:sz w:val="21"/>
          <w:szCs w:val="21"/>
          <w:b w:val="1"/>
          <w:bCs w:val="1"/>
          <w:color w:val="auto"/>
        </w:rPr>
      </w:pPr>
      <w:r>
        <w:rPr>
          <w:rFonts w:ascii="Arial" w:cs="Arial" w:eastAsia="Arial" w:hAnsi="Arial"/>
          <w:sz w:val="21"/>
          <w:szCs w:val="21"/>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79" w:lineRule="exact"/>
        <w:rPr>
          <w:rFonts w:ascii="Arial" w:cs="Arial" w:eastAsia="Arial" w:hAnsi="Arial"/>
          <w:sz w:val="21"/>
          <w:szCs w:val="21"/>
          <w:b w:val="1"/>
          <w:bCs w:val="1"/>
          <w:color w:val="auto"/>
        </w:rPr>
      </w:pPr>
    </w:p>
    <w:p>
      <w:pPr>
        <w:jc w:val="both"/>
        <w:ind w:firstLine="656"/>
        <w:spacing w:after="0" w:line="253" w:lineRule="auto"/>
        <w:tabs>
          <w:tab w:leader="none" w:pos="1293" w:val="left"/>
        </w:tabs>
        <w:numPr>
          <w:ilvl w:val="0"/>
          <w:numId w:val="241"/>
        </w:numPr>
        <w:rPr>
          <w:rFonts w:ascii="Arial" w:cs="Arial" w:eastAsia="Arial" w:hAnsi="Arial"/>
          <w:sz w:val="22"/>
          <w:szCs w:val="22"/>
          <w:b w:val="1"/>
          <w:bCs w:val="1"/>
          <w:color w:val="auto"/>
        </w:rPr>
      </w:pPr>
      <w:r>
        <w:rPr>
          <w:rFonts w:ascii="Arial" w:cs="Arial" w:eastAsia="Arial" w:hAnsi="Arial"/>
          <w:sz w:val="22"/>
          <w:szCs w:val="22"/>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85" w:lineRule="exact"/>
        <w:rPr>
          <w:rFonts w:ascii="Arial" w:cs="Arial" w:eastAsia="Arial" w:hAnsi="Arial"/>
          <w:sz w:val="22"/>
          <w:szCs w:val="22"/>
          <w:b w:val="1"/>
          <w:bCs w:val="1"/>
          <w:color w:val="auto"/>
        </w:rPr>
      </w:pPr>
    </w:p>
    <w:p>
      <w:pPr>
        <w:ind w:left="80" w:firstLine="1305"/>
        <w:spacing w:after="0" w:line="263" w:lineRule="auto"/>
        <w:tabs>
          <w:tab w:leader="none" w:pos="1931" w:val="left"/>
        </w:tabs>
        <w:numPr>
          <w:ilvl w:val="1"/>
          <w:numId w:val="241"/>
        </w:numPr>
        <w:rPr>
          <w:rFonts w:ascii="Arial" w:cs="Arial" w:eastAsia="Arial" w:hAnsi="Arial"/>
          <w:sz w:val="22"/>
          <w:szCs w:val="22"/>
          <w:b w:val="1"/>
          <w:bCs w:val="1"/>
          <w:color w:val="auto"/>
        </w:rPr>
      </w:pPr>
      <w:r>
        <w:rPr>
          <w:rFonts w:ascii="Arial" w:cs="Arial" w:eastAsia="Arial" w:hAnsi="Arial"/>
          <w:sz w:val="22"/>
          <w:szCs w:val="22"/>
          <w:color w:val="auto"/>
        </w:rPr>
        <w:t>Any exercise by the Board of discretion to accelerate the vesting of a Non-Exempt Award shall not result in any acceleration of the scheduled issuance dates for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286" w:name="page287"/>
    <w:bookmarkEnd w:id="286"/>
    <w:p>
      <w:pPr>
        <w:ind w:left="80" w:right="20"/>
        <w:spacing w:after="0" w:line="263" w:lineRule="auto"/>
        <w:rPr>
          <w:sz w:val="20"/>
          <w:szCs w:val="20"/>
          <w:color w:val="auto"/>
        </w:rPr>
      </w:pPr>
      <w:r>
        <w:rPr>
          <w:rFonts w:ascii="Arial" w:cs="Arial" w:eastAsia="Arial" w:hAnsi="Arial"/>
          <w:sz w:val="22"/>
          <w:szCs w:val="22"/>
          <w:color w:val="auto"/>
        </w:rPr>
        <w:t>in respect of the Non-Exempt Award unless earlier issuance of the shares upon the applicable vesting dates would be in compliance with the requirements of Section 409A.</w:t>
      </w:r>
    </w:p>
    <w:p>
      <w:pPr>
        <w:spacing w:after="0" w:line="175" w:lineRule="exact"/>
        <w:rPr>
          <w:sz w:val="20"/>
          <w:szCs w:val="20"/>
          <w:color w:val="auto"/>
        </w:rPr>
      </w:pPr>
    </w:p>
    <w:p>
      <w:pPr>
        <w:jc w:val="both"/>
        <w:ind w:left="80" w:firstLine="1305"/>
        <w:spacing w:after="0" w:line="253" w:lineRule="auto"/>
        <w:tabs>
          <w:tab w:leader="none" w:pos="1937" w:val="left"/>
        </w:tabs>
        <w:numPr>
          <w:ilvl w:val="1"/>
          <w:numId w:val="242"/>
        </w:numPr>
        <w:rPr>
          <w:rFonts w:ascii="Arial" w:cs="Arial" w:eastAsia="Arial" w:hAnsi="Arial"/>
          <w:sz w:val="22"/>
          <w:szCs w:val="22"/>
          <w:b w:val="1"/>
          <w:bCs w:val="1"/>
          <w:color w:val="auto"/>
        </w:rPr>
      </w:pPr>
      <w:r>
        <w:rPr>
          <w:rFonts w:ascii="Arial" w:cs="Arial" w:eastAsia="Arial" w:hAnsi="Arial"/>
          <w:sz w:val="22"/>
          <w:szCs w:val="22"/>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85" w:lineRule="exact"/>
        <w:rPr>
          <w:rFonts w:ascii="Arial" w:cs="Arial" w:eastAsia="Arial" w:hAnsi="Arial"/>
          <w:sz w:val="22"/>
          <w:szCs w:val="22"/>
          <w:b w:val="1"/>
          <w:bCs w:val="1"/>
          <w:color w:val="auto"/>
        </w:rPr>
      </w:pPr>
    </w:p>
    <w:p>
      <w:pPr>
        <w:jc w:val="both"/>
        <w:ind w:left="80" w:firstLine="1305"/>
        <w:spacing w:after="0" w:line="288" w:lineRule="auto"/>
        <w:tabs>
          <w:tab w:leader="none" w:pos="1943" w:val="left"/>
        </w:tabs>
        <w:numPr>
          <w:ilvl w:val="1"/>
          <w:numId w:val="242"/>
        </w:numPr>
        <w:rPr>
          <w:rFonts w:ascii="Arial" w:cs="Arial" w:eastAsia="Arial" w:hAnsi="Arial"/>
          <w:sz w:val="19"/>
          <w:szCs w:val="19"/>
          <w:b w:val="1"/>
          <w:bCs w:val="1"/>
          <w:color w:val="auto"/>
        </w:rPr>
      </w:pPr>
      <w:r>
        <w:rPr>
          <w:rFonts w:ascii="Arial" w:cs="Arial" w:eastAsia="Arial" w:hAnsi="Arial"/>
          <w:sz w:val="19"/>
          <w:szCs w:val="19"/>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59" w:lineRule="exact"/>
        <w:rPr>
          <w:rFonts w:ascii="Arial" w:cs="Arial" w:eastAsia="Arial" w:hAnsi="Arial"/>
          <w:sz w:val="19"/>
          <w:szCs w:val="19"/>
          <w:b w:val="1"/>
          <w:bCs w:val="1"/>
          <w:color w:val="auto"/>
        </w:rPr>
      </w:pPr>
    </w:p>
    <w:p>
      <w:pPr>
        <w:jc w:val="both"/>
        <w:ind w:left="80" w:firstLine="1305"/>
        <w:spacing w:after="0" w:line="250" w:lineRule="auto"/>
        <w:tabs>
          <w:tab w:leader="none" w:pos="1931" w:val="left"/>
        </w:tabs>
        <w:numPr>
          <w:ilvl w:val="1"/>
          <w:numId w:val="242"/>
        </w:numPr>
        <w:rPr>
          <w:rFonts w:ascii="Arial" w:cs="Arial" w:eastAsia="Arial" w:hAnsi="Arial"/>
          <w:sz w:val="22"/>
          <w:szCs w:val="22"/>
          <w:b w:val="1"/>
          <w:bCs w:val="1"/>
          <w:color w:val="auto"/>
        </w:rPr>
      </w:pPr>
      <w:r>
        <w:rPr>
          <w:rFonts w:ascii="Arial" w:cs="Arial" w:eastAsia="Arial" w:hAnsi="Arial"/>
          <w:sz w:val="22"/>
          <w:szCs w:val="22"/>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81" w:lineRule="exact"/>
        <w:rPr>
          <w:rFonts w:ascii="Arial" w:cs="Arial" w:eastAsia="Arial" w:hAnsi="Arial"/>
          <w:sz w:val="22"/>
          <w:szCs w:val="22"/>
          <w:b w:val="1"/>
          <w:bCs w:val="1"/>
          <w:color w:val="auto"/>
        </w:rPr>
      </w:pPr>
    </w:p>
    <w:p>
      <w:pPr>
        <w:ind w:left="660" w:hanging="652"/>
        <w:spacing w:after="0"/>
        <w:tabs>
          <w:tab w:leader="none" w:pos="660" w:val="left"/>
        </w:tabs>
        <w:numPr>
          <w:ilvl w:val="0"/>
          <w:numId w:val="243"/>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6"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the Plan.</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287" w:name="page288"/>
    <w:bookmarkEnd w:id="287"/>
    <w:p>
      <w:pPr>
        <w:ind w:left="660" w:hanging="652"/>
        <w:spacing w:after="0"/>
        <w:tabs>
          <w:tab w:leader="none" w:pos="660" w:val="left"/>
        </w:tabs>
        <w:numPr>
          <w:ilvl w:val="0"/>
          <w:numId w:val="24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As used in the Plan, the following definitions apply to the capitalized terms indicated below:</w:t>
      </w:r>
    </w:p>
    <w:p>
      <w:pPr>
        <w:spacing w:after="0" w:line="219" w:lineRule="exact"/>
        <w:rPr>
          <w:rFonts w:ascii="Arial" w:cs="Arial" w:eastAsia="Arial" w:hAnsi="Arial"/>
          <w:sz w:val="22"/>
          <w:szCs w:val="22"/>
          <w:b w:val="1"/>
          <w:bCs w:val="1"/>
          <w:color w:val="auto"/>
        </w:rPr>
      </w:pPr>
    </w:p>
    <w:p>
      <w:pPr>
        <w:ind w:firstLine="656"/>
        <w:spacing w:after="0" w:line="263" w:lineRule="auto"/>
        <w:tabs>
          <w:tab w:leader="none" w:pos="1291" w:val="left"/>
        </w:tabs>
        <w:numPr>
          <w:ilvl w:val="1"/>
          <w:numId w:val="24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Acquiring Entity</w:t>
      </w:r>
      <w:r>
        <w:rPr>
          <w:rFonts w:ascii="Arial" w:cs="Arial" w:eastAsia="Arial" w:hAnsi="Arial"/>
          <w:sz w:val="22"/>
          <w:szCs w:val="22"/>
          <w:color w:val="auto"/>
        </w:rPr>
        <w:t>” means the surviving or acquiring corporation (or its parent company) in connection with a Corporate Transaction.</w:t>
      </w:r>
    </w:p>
    <w:p>
      <w:pPr>
        <w:spacing w:after="0" w:line="174" w:lineRule="exact"/>
        <w:rPr>
          <w:rFonts w:ascii="Arial" w:cs="Arial" w:eastAsia="Arial" w:hAnsi="Arial"/>
          <w:sz w:val="22"/>
          <w:szCs w:val="22"/>
          <w:b w:val="1"/>
          <w:bCs w:val="1"/>
          <w:color w:val="auto"/>
        </w:rPr>
      </w:pPr>
    </w:p>
    <w:p>
      <w:pPr>
        <w:ind w:left="1300" w:hanging="644"/>
        <w:spacing w:after="0"/>
        <w:tabs>
          <w:tab w:leader="none" w:pos="1300" w:val="left"/>
        </w:tabs>
        <w:numPr>
          <w:ilvl w:val="1"/>
          <w:numId w:val="24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Adoption Date</w:t>
      </w:r>
      <w:r>
        <w:rPr>
          <w:rFonts w:ascii="Arial" w:cs="Arial" w:eastAsia="Arial" w:hAnsi="Arial"/>
          <w:sz w:val="21"/>
          <w:szCs w:val="21"/>
          <w:color w:val="auto"/>
        </w:rPr>
        <w:t>” means the date the Plan is first approved by the Board or Compensation Committee.</w:t>
      </w:r>
    </w:p>
    <w:p>
      <w:pPr>
        <w:spacing w:after="0" w:line="231" w:lineRule="exact"/>
        <w:rPr>
          <w:rFonts w:ascii="Arial" w:cs="Arial" w:eastAsia="Arial" w:hAnsi="Arial"/>
          <w:sz w:val="21"/>
          <w:szCs w:val="21"/>
          <w:b w:val="1"/>
          <w:bCs w:val="1"/>
          <w:color w:val="auto"/>
        </w:rPr>
      </w:pPr>
    </w:p>
    <w:p>
      <w:pPr>
        <w:jc w:val="both"/>
        <w:ind w:firstLine="656"/>
        <w:spacing w:after="0" w:line="253" w:lineRule="auto"/>
        <w:tabs>
          <w:tab w:leader="none" w:pos="1293" w:val="left"/>
        </w:tabs>
        <w:numPr>
          <w:ilvl w:val="1"/>
          <w:numId w:val="24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85" w:lineRule="exact"/>
        <w:rPr>
          <w:rFonts w:ascii="Arial" w:cs="Arial" w:eastAsia="Arial" w:hAnsi="Arial"/>
          <w:sz w:val="22"/>
          <w:szCs w:val="22"/>
          <w:b w:val="1"/>
          <w:bCs w:val="1"/>
          <w:color w:val="auto"/>
        </w:rPr>
      </w:pPr>
    </w:p>
    <w:p>
      <w:pPr>
        <w:jc w:val="both"/>
        <w:ind w:firstLine="656"/>
        <w:spacing w:after="0" w:line="297" w:lineRule="auto"/>
        <w:tabs>
          <w:tab w:leader="none" w:pos="1290" w:val="left"/>
        </w:tabs>
        <w:numPr>
          <w:ilvl w:val="1"/>
          <w:numId w:val="24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Law</w:t>
      </w:r>
      <w:r>
        <w:rPr>
          <w:rFonts w:ascii="Arial" w:cs="Arial" w:eastAsia="Arial" w:hAnsi="Arial"/>
          <w:sz w:val="19"/>
          <w:szCs w:val="19"/>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46" w:lineRule="exact"/>
        <w:rPr>
          <w:rFonts w:ascii="Arial" w:cs="Arial" w:eastAsia="Arial" w:hAnsi="Arial"/>
          <w:sz w:val="19"/>
          <w:szCs w:val="19"/>
          <w:b w:val="1"/>
          <w:bCs w:val="1"/>
          <w:color w:val="auto"/>
        </w:rPr>
      </w:pPr>
    </w:p>
    <w:p>
      <w:pPr>
        <w:jc w:val="both"/>
        <w:ind w:firstLine="656"/>
        <w:spacing w:after="0" w:line="253" w:lineRule="auto"/>
        <w:tabs>
          <w:tab w:leader="none" w:pos="1293" w:val="left"/>
        </w:tabs>
        <w:numPr>
          <w:ilvl w:val="1"/>
          <w:numId w:val="24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185" w:lineRule="exact"/>
        <w:rPr>
          <w:rFonts w:ascii="Arial" w:cs="Arial" w:eastAsia="Arial" w:hAnsi="Arial"/>
          <w:sz w:val="22"/>
          <w:szCs w:val="22"/>
          <w:b w:val="1"/>
          <w:bCs w:val="1"/>
          <w:color w:val="auto"/>
        </w:rPr>
      </w:pPr>
    </w:p>
    <w:p>
      <w:pPr>
        <w:jc w:val="both"/>
        <w:ind w:firstLine="656"/>
        <w:spacing w:after="0" w:line="250" w:lineRule="auto"/>
        <w:tabs>
          <w:tab w:leader="none" w:pos="1296" w:val="left"/>
        </w:tabs>
        <w:numPr>
          <w:ilvl w:val="1"/>
          <w:numId w:val="24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87" w:lineRule="exact"/>
        <w:rPr>
          <w:rFonts w:ascii="Arial" w:cs="Arial" w:eastAsia="Arial" w:hAnsi="Arial"/>
          <w:sz w:val="22"/>
          <w:szCs w:val="22"/>
          <w:b w:val="1"/>
          <w:bCs w:val="1"/>
          <w:color w:val="auto"/>
        </w:rPr>
      </w:pPr>
    </w:p>
    <w:p>
      <w:pPr>
        <w:jc w:val="both"/>
        <w:ind w:firstLine="656"/>
        <w:spacing w:after="0" w:line="253" w:lineRule="auto"/>
        <w:tabs>
          <w:tab w:leader="none" w:pos="1291" w:val="left"/>
        </w:tabs>
        <w:numPr>
          <w:ilvl w:val="1"/>
          <w:numId w:val="24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85" w:lineRule="exact"/>
        <w:rPr>
          <w:rFonts w:ascii="Arial" w:cs="Arial" w:eastAsia="Arial" w:hAnsi="Arial"/>
          <w:sz w:val="22"/>
          <w:szCs w:val="22"/>
          <w:b w:val="1"/>
          <w:bCs w:val="1"/>
          <w:color w:val="auto"/>
        </w:rPr>
      </w:pPr>
    </w:p>
    <w:p>
      <w:pPr>
        <w:ind w:left="1300" w:hanging="644"/>
        <w:spacing w:after="0"/>
        <w:tabs>
          <w:tab w:leader="none" w:pos="1300" w:val="left"/>
        </w:tabs>
        <w:numPr>
          <w:ilvl w:val="1"/>
          <w:numId w:val="24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Stock</w:t>
      </w:r>
      <w:r>
        <w:rPr>
          <w:rFonts w:ascii="Arial" w:cs="Arial" w:eastAsia="Arial" w:hAnsi="Arial"/>
          <w:sz w:val="19"/>
          <w:szCs w:val="19"/>
          <w:color w:val="auto"/>
        </w:rPr>
        <w:t>” means each and every class of stock of the Company, regardless of the number of votes per share.</w:t>
      </w:r>
    </w:p>
    <w:p>
      <w:pPr>
        <w:spacing w:after="0" w:line="254" w:lineRule="exact"/>
        <w:rPr>
          <w:rFonts w:ascii="Arial" w:cs="Arial" w:eastAsia="Arial" w:hAnsi="Arial"/>
          <w:sz w:val="19"/>
          <w:szCs w:val="19"/>
          <w:b w:val="1"/>
          <w:bCs w:val="1"/>
          <w:color w:val="auto"/>
        </w:rPr>
      </w:pPr>
    </w:p>
    <w:p>
      <w:pPr>
        <w:jc w:val="both"/>
        <w:ind w:firstLine="656"/>
        <w:spacing w:after="0" w:line="312" w:lineRule="auto"/>
        <w:tabs>
          <w:tab w:leader="none" w:pos="1351" w:val="left"/>
        </w:tabs>
        <w:numPr>
          <w:ilvl w:val="1"/>
          <w:numId w:val="245"/>
        </w:numPr>
        <w:rPr>
          <w:rFonts w:ascii="Arial" w:cs="Arial" w:eastAsia="Arial" w:hAnsi="Arial"/>
          <w:sz w:val="19"/>
          <w:szCs w:val="19"/>
          <w:b w:val="1"/>
          <w:bCs w:val="1"/>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means any change that is made in, or other events that occur with respect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subject to the Plan or subject to any Award after the Effective Date without the receipt of consideration by the Company through merger, consolidation, reorganization, recapitalization, reincorporation, stock dividend, dividend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2" w:right="339" w:bottom="1440" w:gutter="0" w:footer="0" w:header="0"/>
        </w:sectPr>
      </w:pPr>
    </w:p>
    <w:bookmarkStart w:id="288" w:name="page289"/>
    <w:bookmarkEnd w:id="288"/>
    <w:p>
      <w:pPr>
        <w:jc w:val="both"/>
        <w:spacing w:after="0" w:line="248" w:lineRule="auto"/>
        <w:rPr>
          <w:sz w:val="20"/>
          <w:szCs w:val="20"/>
          <w:color w:val="auto"/>
        </w:rPr>
      </w:pPr>
      <w:r>
        <w:rPr>
          <w:rFonts w:ascii="Arial" w:cs="Arial" w:eastAsia="Arial" w:hAnsi="Arial"/>
          <w:sz w:val="22"/>
          <w:szCs w:val="22"/>
          <w:color w:val="auto"/>
        </w:rPr>
        <w:t>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92" w:lineRule="exact"/>
        <w:rPr>
          <w:sz w:val="20"/>
          <w:szCs w:val="20"/>
          <w:color w:val="auto"/>
        </w:rPr>
      </w:pPr>
    </w:p>
    <w:p>
      <w:pPr>
        <w:jc w:val="both"/>
        <w:ind w:firstLine="656"/>
        <w:spacing w:after="0" w:line="286" w:lineRule="auto"/>
        <w:tabs>
          <w:tab w:leader="none" w:pos="1296" w:val="left"/>
        </w:tabs>
        <w:numPr>
          <w:ilvl w:val="2"/>
          <w:numId w:val="246"/>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w:t>
      </w:r>
    </w:p>
    <w:p>
      <w:pPr>
        <w:spacing w:after="0" w:line="2" w:lineRule="exact"/>
        <w:rPr>
          <w:rFonts w:ascii="Arial" w:cs="Arial" w:eastAsia="Arial" w:hAnsi="Arial"/>
          <w:sz w:val="19"/>
          <w:szCs w:val="19"/>
          <w:b w:val="1"/>
          <w:bCs w:val="1"/>
          <w:color w:val="auto"/>
        </w:rPr>
      </w:pPr>
    </w:p>
    <w:p>
      <w:pPr>
        <w:ind w:left="340" w:hanging="332"/>
        <w:spacing w:after="0"/>
        <w:tabs>
          <w:tab w:leader="none" w:pos="34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the Participant’s commission of (A) a felony or (B) any misdemeanor involving moral turpitude, deceit, dishonesty or fraud;</w:t>
      </w:r>
    </w:p>
    <w:p>
      <w:pPr>
        <w:spacing w:after="0" w:line="38" w:lineRule="exact"/>
        <w:rPr>
          <w:rFonts w:ascii="Arial" w:cs="Arial" w:eastAsia="Arial" w:hAnsi="Arial"/>
          <w:sz w:val="19"/>
          <w:szCs w:val="19"/>
          <w:color w:val="auto"/>
        </w:rPr>
      </w:pPr>
    </w:p>
    <w:p>
      <w:pPr>
        <w:jc w:val="both"/>
        <w:ind w:firstLine="8"/>
        <w:spacing w:after="0" w:line="286" w:lineRule="auto"/>
        <w:tabs>
          <w:tab w:leader="none" w:pos="39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59" w:lineRule="exact"/>
        <w:rPr>
          <w:rFonts w:ascii="Arial" w:cs="Arial" w:eastAsia="Arial" w:hAnsi="Arial"/>
          <w:sz w:val="19"/>
          <w:szCs w:val="19"/>
          <w:color w:val="auto"/>
        </w:rPr>
      </w:pPr>
    </w:p>
    <w:p>
      <w:pPr>
        <w:jc w:val="both"/>
        <w:ind w:firstLine="656"/>
        <w:spacing w:after="0" w:line="250" w:lineRule="auto"/>
        <w:tabs>
          <w:tab w:leader="none" w:pos="1290" w:val="left"/>
        </w:tabs>
        <w:numPr>
          <w:ilvl w:val="2"/>
          <w:numId w:val="24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or “</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87" w:lineRule="exact"/>
        <w:rPr>
          <w:rFonts w:ascii="Arial" w:cs="Arial" w:eastAsia="Arial" w:hAnsi="Arial"/>
          <w:sz w:val="22"/>
          <w:szCs w:val="22"/>
          <w:b w:val="1"/>
          <w:bCs w:val="1"/>
          <w:color w:val="auto"/>
        </w:rPr>
      </w:pPr>
    </w:p>
    <w:p>
      <w:pPr>
        <w:jc w:val="both"/>
        <w:ind w:left="80" w:firstLine="1305"/>
        <w:spacing w:after="0" w:line="288" w:lineRule="auto"/>
        <w:tabs>
          <w:tab w:leader="none" w:pos="1931" w:val="left"/>
        </w:tabs>
        <w:numPr>
          <w:ilvl w:val="3"/>
          <w:numId w:val="247"/>
        </w:numPr>
        <w:rPr>
          <w:rFonts w:ascii="Arial" w:cs="Arial" w:eastAsia="Arial" w:hAnsi="Arial"/>
          <w:sz w:val="19"/>
          <w:szCs w:val="19"/>
          <w:b w:val="1"/>
          <w:bCs w:val="1"/>
          <w:color w:val="auto"/>
        </w:rPr>
      </w:pPr>
      <w:r>
        <w:rPr>
          <w:rFonts w:ascii="Arial" w:cs="Arial" w:eastAsia="Arial" w:hAnsi="Arial"/>
          <w:sz w:val="19"/>
          <w:szCs w:val="19"/>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w:t>
      </w:r>
    </w:p>
    <w:p>
      <w:pPr>
        <w:jc w:val="both"/>
        <w:ind w:left="80" w:firstLine="9"/>
        <w:spacing w:after="0" w:line="244" w:lineRule="auto"/>
        <w:tabs>
          <w:tab w:leader="none" w:pos="442" w:val="left"/>
        </w:tabs>
        <w:numPr>
          <w:ilvl w:val="1"/>
          <w:numId w:val="247"/>
        </w:numPr>
        <w:rPr>
          <w:rFonts w:ascii="Arial" w:cs="Arial" w:eastAsia="Arial" w:hAnsi="Arial"/>
          <w:sz w:val="22"/>
          <w:szCs w:val="22"/>
          <w:color w:val="auto"/>
        </w:rPr>
      </w:pPr>
      <w:r>
        <w:rPr>
          <w:rFonts w:ascii="Arial" w:cs="Arial" w:eastAsia="Arial" w:hAnsi="Arial"/>
          <w:sz w:val="22"/>
          <w:szCs w:val="22"/>
          <w:color w:val="auto"/>
        </w:rPr>
        <w:t>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22"/>
          <w:szCs w:val="22"/>
          <w:i w:val="1"/>
          <w:iCs w:val="1"/>
          <w:color w:val="auto"/>
        </w:rPr>
        <w:t>Subject Person</w:t>
      </w:r>
      <w:r>
        <w:rPr>
          <w:rFonts w:ascii="Arial" w:cs="Arial" w:eastAsia="Arial" w:hAnsi="Arial"/>
          <w:sz w:val="22"/>
          <w:szCs w:val="22"/>
          <w:color w:val="auto"/>
        </w:rPr>
        <w:t>”) exceeds the designated percentage threshold of the outstanding voting securities as a result of a repurchase or other acquisition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289" w:name="page290"/>
    <w:bookmarkEnd w:id="289"/>
    <w:p>
      <w:pPr>
        <w:jc w:val="both"/>
        <w:ind w:left="80"/>
        <w:spacing w:after="0" w:line="297" w:lineRule="auto"/>
        <w:rPr>
          <w:sz w:val="20"/>
          <w:szCs w:val="20"/>
          <w:color w:val="auto"/>
        </w:rPr>
      </w:pPr>
      <w:r>
        <w:rPr>
          <w:rFonts w:ascii="Arial" w:cs="Arial" w:eastAsia="Arial" w:hAnsi="Arial"/>
          <w:sz w:val="19"/>
          <w:szCs w:val="19"/>
          <w:color w:val="auto"/>
        </w:rPr>
        <w:t>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47" w:lineRule="exact"/>
        <w:rPr>
          <w:sz w:val="20"/>
          <w:szCs w:val="20"/>
          <w:color w:val="auto"/>
        </w:rPr>
      </w:pPr>
    </w:p>
    <w:p>
      <w:pPr>
        <w:jc w:val="both"/>
        <w:ind w:left="80" w:firstLine="1305"/>
        <w:spacing w:after="0" w:line="260" w:lineRule="auto"/>
        <w:tabs>
          <w:tab w:leader="none" w:pos="1937" w:val="left"/>
        </w:tabs>
        <w:numPr>
          <w:ilvl w:val="0"/>
          <w:numId w:val="248"/>
        </w:numPr>
        <w:rPr>
          <w:rFonts w:ascii="Arial" w:cs="Arial" w:eastAsia="Arial" w:hAnsi="Arial"/>
          <w:sz w:val="21"/>
          <w:szCs w:val="21"/>
          <w:b w:val="1"/>
          <w:bCs w:val="1"/>
          <w:color w:val="auto"/>
        </w:rPr>
      </w:pPr>
      <w:r>
        <w:rPr>
          <w:rFonts w:ascii="Arial" w:cs="Arial" w:eastAsia="Arial" w:hAnsi="Arial"/>
          <w:sz w:val="21"/>
          <w:szCs w:val="21"/>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0" w:lineRule="exact"/>
        <w:rPr>
          <w:rFonts w:ascii="Arial" w:cs="Arial" w:eastAsia="Arial" w:hAnsi="Arial"/>
          <w:sz w:val="21"/>
          <w:szCs w:val="21"/>
          <w:b w:val="1"/>
          <w:bCs w:val="1"/>
          <w:color w:val="auto"/>
        </w:rPr>
      </w:pPr>
    </w:p>
    <w:p>
      <w:pPr>
        <w:jc w:val="both"/>
        <w:ind w:left="80" w:firstLine="1305"/>
        <w:spacing w:after="0" w:line="247" w:lineRule="auto"/>
        <w:tabs>
          <w:tab w:leader="none" w:pos="1943" w:val="left"/>
        </w:tabs>
        <w:numPr>
          <w:ilvl w:val="0"/>
          <w:numId w:val="248"/>
        </w:numPr>
        <w:rPr>
          <w:rFonts w:ascii="Arial" w:cs="Arial" w:eastAsia="Arial" w:hAnsi="Arial"/>
          <w:sz w:val="22"/>
          <w:szCs w:val="22"/>
          <w:b w:val="1"/>
          <w:bCs w:val="1"/>
          <w:color w:val="auto"/>
        </w:rPr>
      </w:pPr>
      <w:r>
        <w:rPr>
          <w:rFonts w:ascii="Arial" w:cs="Arial" w:eastAsia="Arial" w:hAnsi="Arial"/>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92" w:lineRule="exact"/>
        <w:rPr>
          <w:rFonts w:ascii="Arial" w:cs="Arial" w:eastAsia="Arial" w:hAnsi="Arial"/>
          <w:sz w:val="22"/>
          <w:szCs w:val="22"/>
          <w:b w:val="1"/>
          <w:bCs w:val="1"/>
          <w:color w:val="auto"/>
        </w:rPr>
      </w:pPr>
    </w:p>
    <w:p>
      <w:pPr>
        <w:jc w:val="both"/>
        <w:ind w:left="80" w:firstLine="1305"/>
        <w:spacing w:after="0" w:line="248" w:lineRule="auto"/>
        <w:tabs>
          <w:tab w:leader="none" w:pos="1931" w:val="left"/>
        </w:tabs>
        <w:numPr>
          <w:ilvl w:val="0"/>
          <w:numId w:val="248"/>
        </w:numPr>
        <w:rPr>
          <w:rFonts w:ascii="Arial" w:cs="Arial" w:eastAsia="Arial" w:hAnsi="Arial"/>
          <w:sz w:val="22"/>
          <w:szCs w:val="22"/>
          <w:b w:val="1"/>
          <w:bCs w:val="1"/>
          <w:color w:val="auto"/>
        </w:rPr>
      </w:pPr>
      <w:r>
        <w:rPr>
          <w:rFonts w:ascii="Arial" w:cs="Arial" w:eastAsia="Arial" w:hAnsi="Arial"/>
          <w:sz w:val="22"/>
          <w:szCs w:val="22"/>
          <w:color w:val="auto"/>
        </w:rPr>
        <w:t>individuals who, on the date the Plan is adopted by the Board, are members of the Board (the “</w:t>
      </w:r>
      <w:r>
        <w:rPr>
          <w:rFonts w:ascii="Arial" w:cs="Arial" w:eastAsia="Arial" w:hAnsi="Arial"/>
          <w:sz w:val="22"/>
          <w:szCs w:val="22"/>
          <w:b w:val="1"/>
          <w:bCs w:val="1"/>
          <w:i w:val="1"/>
          <w:iCs w:val="1"/>
          <w:color w:val="auto"/>
        </w:rPr>
        <w:t>Incumbent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cease for any reason to constitute at least a majority of the members of the Board; provided, however, that if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9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93" w:lineRule="exact"/>
        <w:rPr>
          <w:sz w:val="20"/>
          <w:szCs w:val="20"/>
          <w:color w:val="auto"/>
        </w:rPr>
      </w:pPr>
    </w:p>
    <w:p>
      <w:pPr>
        <w:ind w:left="1300" w:hanging="644"/>
        <w:spacing w:after="0"/>
        <w:tabs>
          <w:tab w:leader="none" w:pos="1300" w:val="left"/>
        </w:tabs>
        <w:numPr>
          <w:ilvl w:val="0"/>
          <w:numId w:val="249"/>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Internal Revenue Code of 1986, as amended, including any applicable regulations and guidance</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290" w:name="page291"/>
    <w:bookmarkEnd w:id="290"/>
    <w:p>
      <w:pPr>
        <w:ind w:firstLine="656"/>
        <w:spacing w:after="0" w:line="263" w:lineRule="auto"/>
        <w:tabs>
          <w:tab w:leader="none" w:pos="1296" w:val="left"/>
        </w:tabs>
        <w:numPr>
          <w:ilvl w:val="0"/>
          <w:numId w:val="25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the Compensation Committee and any other committee of one or more Directors to whom authority has been delegated by the Board or Compensation Committee in accordance with the Plan.</w:t>
      </w:r>
    </w:p>
    <w:p>
      <w:pPr>
        <w:spacing w:after="0" w:line="174" w:lineRule="exact"/>
        <w:rPr>
          <w:rFonts w:ascii="Arial" w:cs="Arial" w:eastAsia="Arial" w:hAnsi="Arial"/>
          <w:sz w:val="22"/>
          <w:szCs w:val="22"/>
          <w:b w:val="1"/>
          <w:bCs w:val="1"/>
          <w:color w:val="auto"/>
        </w:rPr>
      </w:pPr>
    </w:p>
    <w:p>
      <w:pPr>
        <w:ind w:left="1300" w:hanging="644"/>
        <w:spacing w:after="0"/>
        <w:tabs>
          <w:tab w:leader="none" w:pos="1300" w:val="left"/>
        </w:tabs>
        <w:numPr>
          <w:ilvl w:val="0"/>
          <w:numId w:val="25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Class A common stock of the Company.</w:t>
      </w:r>
    </w:p>
    <w:p>
      <w:pPr>
        <w:spacing w:after="0" w:line="21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25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NerdWallet, Inc., a Delaware corporation.</w:t>
      </w:r>
    </w:p>
    <w:p>
      <w:pPr>
        <w:spacing w:after="0" w:line="21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25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means the Compensation Committee of the Board.</w:t>
      </w:r>
    </w:p>
    <w:p>
      <w:pPr>
        <w:spacing w:after="0" w:line="219" w:lineRule="exact"/>
        <w:rPr>
          <w:rFonts w:ascii="Arial" w:cs="Arial" w:eastAsia="Arial" w:hAnsi="Arial"/>
          <w:sz w:val="22"/>
          <w:szCs w:val="22"/>
          <w:b w:val="1"/>
          <w:bCs w:val="1"/>
          <w:color w:val="auto"/>
        </w:rPr>
      </w:pPr>
    </w:p>
    <w:p>
      <w:pPr>
        <w:jc w:val="both"/>
        <w:ind w:firstLine="656"/>
        <w:spacing w:after="0" w:line="261" w:lineRule="auto"/>
        <w:tabs>
          <w:tab w:leader="none" w:pos="1290" w:val="left"/>
        </w:tabs>
        <w:numPr>
          <w:ilvl w:val="0"/>
          <w:numId w:val="250"/>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Consultant</w:t>
      </w:r>
      <w:r>
        <w:rPr>
          <w:rFonts w:ascii="Arial" w:cs="Arial" w:eastAsia="Arial" w:hAnsi="Arial"/>
          <w:sz w:val="21"/>
          <w:szCs w:val="21"/>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Arial" w:cs="Arial" w:eastAsia="Arial" w:hAnsi="Arial"/>
          <w:sz w:val="21"/>
          <w:szCs w:val="21"/>
          <w:b w:val="1"/>
          <w:bCs w:val="1"/>
          <w:color w:val="auto"/>
        </w:rPr>
      </w:pPr>
    </w:p>
    <w:p>
      <w:pPr>
        <w:jc w:val="both"/>
        <w:ind w:firstLine="656"/>
        <w:spacing w:after="0" w:line="285" w:lineRule="auto"/>
        <w:tabs>
          <w:tab w:leader="none" w:pos="1293" w:val="left"/>
        </w:tabs>
        <w:numPr>
          <w:ilvl w:val="0"/>
          <w:numId w:val="250"/>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Continuous Service</w:t>
      </w:r>
      <w:r>
        <w:rPr>
          <w:rFonts w:ascii="Arial" w:cs="Arial" w:eastAsia="Arial" w:hAnsi="Arial"/>
          <w:sz w:val="19"/>
          <w:szCs w:val="19"/>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291" w:name="page292"/>
    <w:bookmarkEnd w:id="291"/>
    <w:p>
      <w:pPr>
        <w:ind w:firstLine="656"/>
        <w:spacing w:after="0" w:line="263" w:lineRule="auto"/>
        <w:tabs>
          <w:tab w:leader="none" w:pos="1294" w:val="left"/>
        </w:tabs>
        <w:numPr>
          <w:ilvl w:val="0"/>
          <w:numId w:val="25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Corporate Transaction</w:t>
      </w:r>
      <w:r>
        <w:rPr>
          <w:rFonts w:ascii="Arial" w:cs="Arial" w:eastAsia="Arial" w:hAnsi="Arial"/>
          <w:sz w:val="22"/>
          <w:szCs w:val="22"/>
          <w:color w:val="auto"/>
        </w:rPr>
        <w:t>” means the consummation, in a single transaction or in a series of related transactions, of any one or more of the following events:</w:t>
      </w:r>
    </w:p>
    <w:p>
      <w:pPr>
        <w:spacing w:after="0" w:line="174" w:lineRule="exact"/>
        <w:rPr>
          <w:rFonts w:ascii="Arial" w:cs="Arial" w:eastAsia="Arial" w:hAnsi="Arial"/>
          <w:sz w:val="22"/>
          <w:szCs w:val="22"/>
          <w:b w:val="1"/>
          <w:bCs w:val="1"/>
          <w:color w:val="auto"/>
        </w:rPr>
      </w:pPr>
    </w:p>
    <w:p>
      <w:pPr>
        <w:ind w:left="80" w:right="20" w:firstLine="1305"/>
        <w:spacing w:after="0" w:line="263" w:lineRule="auto"/>
        <w:tabs>
          <w:tab w:leader="none" w:pos="1931" w:val="left"/>
        </w:tabs>
        <w:numPr>
          <w:ilvl w:val="1"/>
          <w:numId w:val="251"/>
        </w:numPr>
        <w:rPr>
          <w:rFonts w:ascii="Arial" w:cs="Arial" w:eastAsia="Arial" w:hAnsi="Arial"/>
          <w:sz w:val="22"/>
          <w:szCs w:val="22"/>
          <w:b w:val="1"/>
          <w:bCs w:val="1"/>
          <w:color w:val="auto"/>
        </w:rPr>
      </w:pPr>
      <w:r>
        <w:rPr>
          <w:rFonts w:ascii="Arial" w:cs="Arial" w:eastAsia="Arial" w:hAnsi="Arial"/>
          <w:sz w:val="22"/>
          <w:szCs w:val="22"/>
          <w:color w:val="auto"/>
        </w:rPr>
        <w:t>a sale or other disposition of all or substantially all, as determined by the Board, of the consolidated assets of the Company and its Subsidiaries;</w:t>
      </w:r>
    </w:p>
    <w:p>
      <w:pPr>
        <w:spacing w:after="0" w:line="174" w:lineRule="exact"/>
        <w:rPr>
          <w:rFonts w:ascii="Arial" w:cs="Arial" w:eastAsia="Arial" w:hAnsi="Arial"/>
          <w:sz w:val="22"/>
          <w:szCs w:val="22"/>
          <w:b w:val="1"/>
          <w:bCs w:val="1"/>
          <w:color w:val="auto"/>
        </w:rPr>
      </w:pPr>
    </w:p>
    <w:p>
      <w:pPr>
        <w:ind w:left="1940" w:hanging="555"/>
        <w:spacing w:after="0"/>
        <w:tabs>
          <w:tab w:leader="none" w:pos="1940" w:val="left"/>
        </w:tabs>
        <w:numPr>
          <w:ilvl w:val="1"/>
          <w:numId w:val="251"/>
        </w:numPr>
        <w:rPr>
          <w:rFonts w:ascii="Arial" w:cs="Arial" w:eastAsia="Arial" w:hAnsi="Arial"/>
          <w:sz w:val="22"/>
          <w:szCs w:val="22"/>
          <w:b w:val="1"/>
          <w:bCs w:val="1"/>
          <w:color w:val="auto"/>
        </w:rPr>
      </w:pPr>
      <w:r>
        <w:rPr>
          <w:rFonts w:ascii="Arial" w:cs="Arial" w:eastAsia="Arial" w:hAnsi="Arial"/>
          <w:sz w:val="22"/>
          <w:szCs w:val="22"/>
          <w:color w:val="auto"/>
        </w:rPr>
        <w:t>a sale or other disposition of at least 50% of the outstanding securities of the Company;</w:t>
      </w:r>
    </w:p>
    <w:p>
      <w:pPr>
        <w:spacing w:after="0" w:line="219" w:lineRule="exact"/>
        <w:rPr>
          <w:rFonts w:ascii="Arial" w:cs="Arial" w:eastAsia="Arial" w:hAnsi="Arial"/>
          <w:sz w:val="22"/>
          <w:szCs w:val="22"/>
          <w:b w:val="1"/>
          <w:bCs w:val="1"/>
          <w:color w:val="auto"/>
        </w:rPr>
      </w:pPr>
    </w:p>
    <w:p>
      <w:pPr>
        <w:ind w:left="1960" w:hanging="575"/>
        <w:spacing w:after="0"/>
        <w:tabs>
          <w:tab w:leader="none" w:pos="1960" w:val="left"/>
        </w:tabs>
        <w:numPr>
          <w:ilvl w:val="1"/>
          <w:numId w:val="251"/>
        </w:numPr>
        <w:rPr>
          <w:rFonts w:ascii="Arial" w:cs="Arial" w:eastAsia="Arial" w:hAnsi="Arial"/>
          <w:sz w:val="22"/>
          <w:szCs w:val="22"/>
          <w:b w:val="1"/>
          <w:bCs w:val="1"/>
          <w:color w:val="auto"/>
        </w:rPr>
      </w:pPr>
      <w:r>
        <w:rPr>
          <w:rFonts w:ascii="Arial" w:cs="Arial" w:eastAsia="Arial" w:hAnsi="Arial"/>
          <w:sz w:val="22"/>
          <w:szCs w:val="22"/>
          <w:color w:val="auto"/>
        </w:rPr>
        <w:t>a merger, consolidation or similar transaction following which the Company is not the surviving</w:t>
      </w:r>
    </w:p>
    <w:p>
      <w:pPr>
        <w:spacing w:after="0" w:line="21" w:lineRule="exact"/>
        <w:rPr>
          <w:rFonts w:ascii="Arial" w:cs="Arial" w:eastAsia="Arial" w:hAnsi="Arial"/>
          <w:sz w:val="22"/>
          <w:szCs w:val="22"/>
          <w:b w:val="1"/>
          <w:bCs w:val="1"/>
          <w:color w:val="auto"/>
        </w:rPr>
      </w:pPr>
    </w:p>
    <w:p>
      <w:pPr>
        <w:ind w:left="80"/>
        <w:spacing w:after="0"/>
        <w:rPr>
          <w:rFonts w:ascii="Arial" w:cs="Arial" w:eastAsia="Arial" w:hAnsi="Arial"/>
          <w:sz w:val="22"/>
          <w:szCs w:val="22"/>
          <w:b w:val="1"/>
          <w:bCs w:val="1"/>
          <w:color w:val="auto"/>
        </w:rPr>
      </w:pPr>
      <w:r>
        <w:rPr>
          <w:rFonts w:ascii="Arial" w:cs="Arial" w:eastAsia="Arial" w:hAnsi="Arial"/>
          <w:sz w:val="22"/>
          <w:szCs w:val="22"/>
          <w:color w:val="auto"/>
        </w:rPr>
        <w:t>corporation; or</w:t>
      </w:r>
    </w:p>
    <w:p>
      <w:pPr>
        <w:spacing w:after="0" w:line="201" w:lineRule="exact"/>
        <w:rPr>
          <w:rFonts w:ascii="Arial" w:cs="Arial" w:eastAsia="Arial" w:hAnsi="Arial"/>
          <w:sz w:val="22"/>
          <w:szCs w:val="22"/>
          <w:b w:val="1"/>
          <w:bCs w:val="1"/>
          <w:color w:val="auto"/>
        </w:rPr>
      </w:pPr>
    </w:p>
    <w:p>
      <w:pPr>
        <w:jc w:val="both"/>
        <w:ind w:left="80" w:firstLine="1305"/>
        <w:spacing w:after="0" w:line="250" w:lineRule="auto"/>
        <w:tabs>
          <w:tab w:leader="none" w:pos="1931" w:val="left"/>
        </w:tabs>
        <w:numPr>
          <w:ilvl w:val="1"/>
          <w:numId w:val="251"/>
        </w:numPr>
        <w:rPr>
          <w:rFonts w:ascii="Arial" w:cs="Arial" w:eastAsia="Arial" w:hAnsi="Arial"/>
          <w:sz w:val="22"/>
          <w:szCs w:val="22"/>
          <w:b w:val="1"/>
          <w:bCs w:val="1"/>
          <w:color w:val="auto"/>
        </w:rPr>
      </w:pPr>
      <w:r>
        <w:rPr>
          <w:rFonts w:ascii="Arial" w:cs="Arial" w:eastAsia="Arial" w:hAnsi="Arial"/>
          <w:sz w:val="22"/>
          <w:szCs w:val="22"/>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56" w:lineRule="exact"/>
        <w:rPr>
          <w:sz w:val="20"/>
          <w:szCs w:val="20"/>
          <w:color w:val="auto"/>
        </w:rPr>
      </w:pPr>
    </w:p>
    <w:p>
      <w:pPr>
        <w:ind w:left="1300" w:hanging="644"/>
        <w:spacing w:after="0"/>
        <w:tabs>
          <w:tab w:leader="none" w:pos="1300" w:val="left"/>
        </w:tabs>
        <w:numPr>
          <w:ilvl w:val="0"/>
          <w:numId w:val="2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1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25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determine</w:t>
      </w:r>
      <w:r>
        <w:rPr>
          <w:rFonts w:ascii="Arial" w:cs="Arial" w:eastAsia="Arial" w:hAnsi="Arial"/>
          <w:sz w:val="19"/>
          <w:szCs w:val="19"/>
          <w:color w:val="auto"/>
        </w:rPr>
        <w:t>” or “</w:t>
      </w:r>
      <w:r>
        <w:rPr>
          <w:rFonts w:ascii="Arial" w:cs="Arial" w:eastAsia="Arial" w:hAnsi="Arial"/>
          <w:sz w:val="19"/>
          <w:szCs w:val="19"/>
          <w:b w:val="1"/>
          <w:bCs w:val="1"/>
          <w:i w:val="1"/>
          <w:iCs w:val="1"/>
          <w:color w:val="auto"/>
        </w:rPr>
        <w:t>determined</w:t>
      </w:r>
      <w:r>
        <w:rPr>
          <w:rFonts w:ascii="Arial" w:cs="Arial" w:eastAsia="Arial" w:hAnsi="Arial"/>
          <w:sz w:val="19"/>
          <w:szCs w:val="19"/>
          <w:color w:val="auto"/>
        </w:rPr>
        <w:t>” means as determined by the Board or the Committee (or its designee) in its sole</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discretion.</w:t>
      </w:r>
    </w:p>
    <w:p>
      <w:pPr>
        <w:spacing w:after="0" w:line="201" w:lineRule="exact"/>
        <w:rPr>
          <w:rFonts w:ascii="Arial" w:cs="Arial" w:eastAsia="Arial" w:hAnsi="Arial"/>
          <w:sz w:val="19"/>
          <w:szCs w:val="19"/>
          <w:b w:val="1"/>
          <w:bCs w:val="1"/>
          <w:color w:val="auto"/>
        </w:rPr>
      </w:pPr>
    </w:p>
    <w:p>
      <w:pPr>
        <w:jc w:val="both"/>
        <w:ind w:firstLine="656"/>
        <w:spacing w:after="0" w:line="248" w:lineRule="auto"/>
        <w:tabs>
          <w:tab w:leader="none" w:pos="1291" w:val="left"/>
        </w:tabs>
        <w:numPr>
          <w:ilvl w:val="0"/>
          <w:numId w:val="2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91" w:lineRule="exact"/>
        <w:rPr>
          <w:rFonts w:ascii="Arial" w:cs="Arial" w:eastAsia="Arial" w:hAnsi="Arial"/>
          <w:sz w:val="22"/>
          <w:szCs w:val="22"/>
          <w:b w:val="1"/>
          <w:bCs w:val="1"/>
          <w:color w:val="auto"/>
        </w:rPr>
      </w:pPr>
    </w:p>
    <w:p>
      <w:pPr>
        <w:ind w:firstLine="656"/>
        <w:spacing w:after="0" w:line="263" w:lineRule="auto"/>
        <w:tabs>
          <w:tab w:leader="none" w:pos="1285" w:val="left"/>
        </w:tabs>
        <w:numPr>
          <w:ilvl w:val="0"/>
          <w:numId w:val="25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immediately prior to the IPO Date, provided this Plan is approved by the Company’s stockholders prior to the IPO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292" w:name="page293"/>
    <w:bookmarkEnd w:id="292"/>
    <w:p>
      <w:pPr>
        <w:ind w:right="20" w:firstLine="656"/>
        <w:spacing w:after="0" w:line="343" w:lineRule="auto"/>
        <w:tabs>
          <w:tab w:leader="none" w:pos="1291" w:val="left"/>
        </w:tabs>
        <w:numPr>
          <w:ilvl w:val="0"/>
          <w:numId w:val="25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 Affiliate. However, service solely as a Director, or payment of a fee for such services, will not cause a Director to be considered an “Employee” for purposes of the Plan.</w:t>
      </w:r>
    </w:p>
    <w:p>
      <w:pPr>
        <w:spacing w:after="0" w:line="104" w:lineRule="exact"/>
        <w:rPr>
          <w:rFonts w:ascii="Arial" w:cs="Arial" w:eastAsia="Arial" w:hAnsi="Arial"/>
          <w:sz w:val="19"/>
          <w:szCs w:val="19"/>
          <w:b w:val="1"/>
          <w:bCs w:val="1"/>
          <w:color w:val="auto"/>
        </w:rPr>
      </w:pPr>
    </w:p>
    <w:p>
      <w:pPr>
        <w:ind w:left="1300" w:hanging="644"/>
        <w:spacing w:after="0"/>
        <w:tabs>
          <w:tab w:leader="none" w:pos="1300" w:val="left"/>
        </w:tabs>
        <w:numPr>
          <w:ilvl w:val="0"/>
          <w:numId w:val="2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means the Company or the Affiliate of the Company that employs the Participant.</w:t>
      </w:r>
    </w:p>
    <w:p>
      <w:pPr>
        <w:spacing w:after="0" w:line="21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2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20" w:lineRule="exact"/>
        <w:rPr>
          <w:sz w:val="20"/>
          <w:szCs w:val="20"/>
          <w:color w:val="auto"/>
        </w:rPr>
      </w:pPr>
    </w:p>
    <w:p>
      <w:pPr>
        <w:ind w:firstLine="656"/>
        <w:spacing w:after="0" w:line="263" w:lineRule="auto"/>
        <w:tabs>
          <w:tab w:leader="none" w:pos="1291" w:val="left"/>
        </w:tabs>
        <w:numPr>
          <w:ilvl w:val="0"/>
          <w:numId w:val="25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(ab) </w:t>
      </w:r>
      <w:r>
        <w:rPr>
          <w:rFonts w:ascii="Arial" w:cs="Arial" w:eastAsia="Arial" w:hAnsi="Arial"/>
          <w:sz w:val="21"/>
          <w:szCs w:val="21"/>
          <w:color w:val="auto"/>
        </w:rPr>
        <w:t>“</w:t>
      </w:r>
      <w:r>
        <w:rPr>
          <w:rFonts w:ascii="Arial" w:cs="Arial" w:eastAsia="Arial" w:hAnsi="Arial"/>
          <w:sz w:val="21"/>
          <w:szCs w:val="21"/>
          <w:b w:val="1"/>
          <w:bCs w:val="1"/>
          <w:i w:val="1"/>
          <w:iCs w:val="1"/>
          <w:color w:val="auto"/>
        </w:rPr>
        <w:t>Exchange Act Person</w:t>
      </w:r>
      <w:r>
        <w:rPr>
          <w:rFonts w:ascii="Arial" w:cs="Arial" w:eastAsia="Arial" w:hAnsi="Arial"/>
          <w:sz w:val="21"/>
          <w:szCs w:val="21"/>
          <w:color w:val="auto"/>
        </w:rPr>
        <w:t>” means any natural person, Entity or “group” (within the meaning of Section 13(d) or</w:t>
      </w:r>
      <w:r>
        <w:rPr>
          <w:rFonts w:ascii="Arial" w:cs="Arial" w:eastAsia="Arial" w:hAnsi="Arial"/>
          <w:sz w:val="21"/>
          <w:szCs w:val="21"/>
          <w:b w:val="1"/>
          <w:bCs w:val="1"/>
          <w:color w:val="auto"/>
        </w:rPr>
        <w:t xml:space="preserve"> </w:t>
      </w:r>
      <w:r>
        <w:rPr>
          <w:rFonts w:ascii="Arial" w:cs="Arial" w:eastAsia="Arial" w:hAnsi="Arial"/>
          <w:sz w:val="21"/>
          <w:szCs w:val="21"/>
          <w:color w:val="auto"/>
        </w:rPr>
        <w:t>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(ac) </w:t>
      </w: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as of any date, unless otherwise determined by the Board, the value of the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(as determined on a per share or aggregate basis, as applicable) determined as follows:</w:t>
      </w:r>
    </w:p>
    <w:p>
      <w:pPr>
        <w:spacing w:after="0" w:line="168" w:lineRule="exact"/>
        <w:rPr>
          <w:sz w:val="20"/>
          <w:szCs w:val="20"/>
          <w:color w:val="auto"/>
        </w:rPr>
      </w:pPr>
    </w:p>
    <w:p>
      <w:pPr>
        <w:jc w:val="both"/>
        <w:ind w:left="80" w:firstLine="1305"/>
        <w:spacing w:after="0" w:line="250" w:lineRule="auto"/>
        <w:tabs>
          <w:tab w:leader="none" w:pos="1931" w:val="left"/>
        </w:tabs>
        <w:numPr>
          <w:ilvl w:val="0"/>
          <w:numId w:val="255"/>
        </w:numPr>
        <w:rPr>
          <w:rFonts w:ascii="Arial" w:cs="Arial" w:eastAsia="Arial" w:hAnsi="Arial"/>
          <w:sz w:val="22"/>
          <w:szCs w:val="22"/>
          <w:b w:val="1"/>
          <w:bCs w:val="1"/>
          <w:color w:val="auto"/>
        </w:rPr>
      </w:pPr>
      <w:r>
        <w:rPr>
          <w:rFonts w:ascii="Arial" w:cs="Arial" w:eastAsia="Arial" w:hAnsi="Arial"/>
          <w:sz w:val="22"/>
          <w:szCs w:val="22"/>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87" w:lineRule="exact"/>
        <w:rPr>
          <w:rFonts w:ascii="Arial" w:cs="Arial" w:eastAsia="Arial" w:hAnsi="Arial"/>
          <w:sz w:val="22"/>
          <w:szCs w:val="22"/>
          <w:b w:val="1"/>
          <w:bCs w:val="1"/>
          <w:color w:val="auto"/>
        </w:rPr>
      </w:pPr>
    </w:p>
    <w:p>
      <w:pPr>
        <w:ind w:left="80" w:firstLine="1305"/>
        <w:spacing w:after="0" w:line="263" w:lineRule="auto"/>
        <w:tabs>
          <w:tab w:leader="none" w:pos="1937" w:val="left"/>
        </w:tabs>
        <w:numPr>
          <w:ilvl w:val="0"/>
          <w:numId w:val="255"/>
        </w:numPr>
        <w:rPr>
          <w:rFonts w:ascii="Arial" w:cs="Arial" w:eastAsia="Arial" w:hAnsi="Arial"/>
          <w:sz w:val="22"/>
          <w:szCs w:val="22"/>
          <w:b w:val="1"/>
          <w:bCs w:val="1"/>
          <w:color w:val="auto"/>
        </w:rPr>
      </w:pPr>
      <w:r>
        <w:rPr>
          <w:rFonts w:ascii="Arial" w:cs="Arial" w:eastAsia="Arial" w:hAnsi="Arial"/>
          <w:sz w:val="22"/>
          <w:szCs w:val="22"/>
          <w:color w:val="auto"/>
        </w:rPr>
        <w:t>If there is no closing sales price for the Common Stock on the date of determination, then the Fair Market Value will be the closing selling price on the last preceding date for which such quotation exists.</w:t>
      </w:r>
    </w:p>
    <w:p>
      <w:pPr>
        <w:spacing w:after="0" w:line="174" w:lineRule="exact"/>
        <w:rPr>
          <w:rFonts w:ascii="Arial" w:cs="Arial" w:eastAsia="Arial" w:hAnsi="Arial"/>
          <w:sz w:val="22"/>
          <w:szCs w:val="22"/>
          <w:b w:val="1"/>
          <w:bCs w:val="1"/>
          <w:color w:val="auto"/>
        </w:rPr>
      </w:pPr>
    </w:p>
    <w:p>
      <w:pPr>
        <w:jc w:val="both"/>
        <w:ind w:left="80" w:firstLine="1305"/>
        <w:spacing w:after="0" w:line="253" w:lineRule="auto"/>
        <w:tabs>
          <w:tab w:leader="none" w:pos="1943" w:val="left"/>
        </w:tabs>
        <w:numPr>
          <w:ilvl w:val="0"/>
          <w:numId w:val="255"/>
        </w:numPr>
        <w:rPr>
          <w:rFonts w:ascii="Arial" w:cs="Arial" w:eastAsia="Arial" w:hAnsi="Arial"/>
          <w:sz w:val="22"/>
          <w:szCs w:val="22"/>
          <w:b w:val="1"/>
          <w:bCs w:val="1"/>
          <w:color w:val="auto"/>
        </w:rPr>
      </w:pPr>
      <w:r>
        <w:rPr>
          <w:rFonts w:ascii="Arial" w:cs="Arial" w:eastAsia="Arial" w:hAnsi="Arial"/>
          <w:sz w:val="22"/>
          <w:szCs w:val="22"/>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(ad) </w:t>
      </w: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Body</w:t>
      </w:r>
      <w:r>
        <w:rPr>
          <w:rFonts w:ascii="Arial" w:cs="Arial" w:eastAsia="Arial" w:hAnsi="Arial"/>
          <w:sz w:val="22"/>
          <w:szCs w:val="22"/>
          <w:color w:val="auto"/>
        </w:rPr>
        <w:t>” means any: (i) nation, state, commonwealth, province, territory, county, municipality,</w:t>
      </w:r>
      <w:r>
        <w:rPr>
          <w:rFonts w:ascii="Arial" w:cs="Arial" w:eastAsia="Arial" w:hAnsi="Arial"/>
          <w:sz w:val="22"/>
          <w:szCs w:val="22"/>
          <w:b w:val="1"/>
          <w:bCs w:val="1"/>
          <w:color w:val="auto"/>
        </w:rPr>
        <w:t xml:space="preserve"> </w:t>
      </w:r>
      <w:r>
        <w:rPr>
          <w:rFonts w:ascii="Arial" w:cs="Arial" w:eastAsia="Arial" w:hAnsi="Arial"/>
          <w:sz w:val="22"/>
          <w:szCs w:val="22"/>
          <w:color w:val="auto"/>
        </w:rPr>
        <w:t>district or other jurisdiction of any nature; (ii) federal, state,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293" w:name="page294"/>
    <w:bookmarkEnd w:id="293"/>
    <w:p>
      <w:pPr>
        <w:jc w:val="both"/>
        <w:spacing w:after="0" w:line="297" w:lineRule="auto"/>
        <w:rPr>
          <w:sz w:val="20"/>
          <w:szCs w:val="20"/>
          <w:color w:val="auto"/>
        </w:rPr>
      </w:pPr>
      <w:r>
        <w:rPr>
          <w:rFonts w:ascii="Arial" w:cs="Arial" w:eastAsia="Arial" w:hAnsi="Arial"/>
          <w:sz w:val="19"/>
          <w:szCs w:val="19"/>
          <w:color w:val="auto"/>
        </w:rPr>
        <w:t>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4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(ae) </w:t>
      </w:r>
      <w:r>
        <w:rPr>
          <w:rFonts w:ascii="Arial" w:cs="Arial" w:eastAsia="Arial" w:hAnsi="Arial"/>
          <w:sz w:val="22"/>
          <w:szCs w:val="22"/>
          <w:color w:val="auto"/>
        </w:rPr>
        <w:t>“</w:t>
      </w:r>
      <w:r>
        <w:rPr>
          <w:rFonts w:ascii="Arial" w:cs="Arial" w:eastAsia="Arial" w:hAnsi="Arial"/>
          <w:sz w:val="22"/>
          <w:szCs w:val="22"/>
          <w:b w:val="1"/>
          <w:bCs w:val="1"/>
          <w:i w:val="1"/>
          <w:iCs w:val="1"/>
          <w:color w:val="auto"/>
        </w:rPr>
        <w:t>Grant Notice</w:t>
      </w:r>
      <w:r>
        <w:rPr>
          <w:rFonts w:ascii="Arial" w:cs="Arial" w:eastAsia="Arial" w:hAnsi="Arial"/>
          <w:sz w:val="22"/>
          <w:szCs w:val="22"/>
          <w:color w:val="auto"/>
        </w:rPr>
        <w:t>” means the notice provided to a Participant that he or she has been granted an Award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(af) </w:t>
      </w:r>
      <w:r>
        <w:rPr>
          <w:rFonts w:ascii="Arial" w:cs="Arial" w:eastAsia="Arial" w:hAnsi="Arial"/>
          <w:sz w:val="22"/>
          <w:szCs w:val="22"/>
          <w:color w:val="auto"/>
        </w:rPr>
        <w:t>“</w:t>
      </w:r>
      <w:r>
        <w:rPr>
          <w:rFonts w:ascii="Arial" w:cs="Arial" w:eastAsia="Arial" w:hAnsi="Arial"/>
          <w:sz w:val="22"/>
          <w:szCs w:val="22"/>
          <w:b w:val="1"/>
          <w:bCs w:val="1"/>
          <w:i w:val="1"/>
          <w:iCs w:val="1"/>
          <w:color w:val="auto"/>
        </w:rPr>
        <w:t>Incentive Stock Option</w:t>
      </w:r>
      <w:r>
        <w:rPr>
          <w:rFonts w:ascii="Arial" w:cs="Arial" w:eastAsia="Arial" w:hAnsi="Arial"/>
          <w:sz w:val="22"/>
          <w:szCs w:val="22"/>
          <w:color w:val="auto"/>
        </w:rPr>
        <w:t>” means an option granted pursuant to Section 4 of the Plan that is intended to be, and</w:t>
      </w:r>
      <w:r>
        <w:rPr>
          <w:rFonts w:ascii="Arial" w:cs="Arial" w:eastAsia="Arial" w:hAnsi="Arial"/>
          <w:sz w:val="22"/>
          <w:szCs w:val="22"/>
          <w:b w:val="1"/>
          <w:bCs w:val="1"/>
          <w:color w:val="auto"/>
        </w:rPr>
        <w:t xml:space="preserve"> </w:t>
      </w:r>
      <w:r>
        <w:rPr>
          <w:rFonts w:ascii="Arial" w:cs="Arial" w:eastAsia="Arial" w:hAnsi="Arial"/>
          <w:sz w:val="22"/>
          <w:szCs w:val="22"/>
          <w:color w:val="auto"/>
        </w:rPr>
        <w:t>qualifies as, an “incentive stock option” within the meaning of Section 422 of the Code.</w:t>
      </w:r>
    </w:p>
    <w:p>
      <w:pPr>
        <w:spacing w:after="0" w:line="162"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b w:val="1"/>
          <w:bCs w:val="1"/>
          <w:color w:val="auto"/>
        </w:rPr>
        <w:t xml:space="preserve">(ag) </w:t>
      </w:r>
      <w:r>
        <w:rPr>
          <w:rFonts w:ascii="Arial" w:cs="Arial" w:eastAsia="Arial" w:hAnsi="Arial"/>
          <w:sz w:val="19"/>
          <w:szCs w:val="19"/>
          <w:color w:val="auto"/>
        </w:rPr>
        <w:t>“</w:t>
      </w:r>
      <w:r>
        <w:rPr>
          <w:rFonts w:ascii="Arial" w:cs="Arial" w:eastAsia="Arial" w:hAnsi="Arial"/>
          <w:sz w:val="19"/>
          <w:szCs w:val="19"/>
          <w:b w:val="1"/>
          <w:bCs w:val="1"/>
          <w:i w:val="1"/>
          <w:iCs w:val="1"/>
          <w:color w:val="auto"/>
        </w:rPr>
        <w:t>IPO Date</w:t>
      </w:r>
      <w:r>
        <w:rPr>
          <w:rFonts w:ascii="Arial" w:cs="Arial" w:eastAsia="Arial" w:hAnsi="Arial"/>
          <w:sz w:val="19"/>
          <w:szCs w:val="19"/>
          <w:color w:val="auto"/>
        </w:rPr>
        <w:t>” means the date of the underwriting agreement between the Company and the underwriter(s) managing</w:t>
      </w:r>
      <w:r>
        <w:rPr>
          <w:rFonts w:ascii="Arial" w:cs="Arial" w:eastAsia="Arial" w:hAnsi="Arial"/>
          <w:sz w:val="19"/>
          <w:szCs w:val="19"/>
          <w:b w:val="1"/>
          <w:bCs w:val="1"/>
          <w:color w:val="auto"/>
        </w:rPr>
        <w:t xml:space="preserve"> </w:t>
      </w:r>
      <w:r>
        <w:rPr>
          <w:rFonts w:ascii="Arial" w:cs="Arial" w:eastAsia="Arial" w:hAnsi="Arial"/>
          <w:sz w:val="19"/>
          <w:szCs w:val="19"/>
          <w:color w:val="auto"/>
        </w:rPr>
        <w:t>the initial public offering of the Common Stock, pursuant to which the Common Stock is priced for the initial public offering.</w:t>
      </w:r>
    </w:p>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(ah) </w:t>
      </w:r>
      <w:r>
        <w:rPr>
          <w:rFonts w:ascii="Arial" w:cs="Arial" w:eastAsia="Arial" w:hAnsi="Arial"/>
          <w:sz w:val="21"/>
          <w:szCs w:val="21"/>
          <w:color w:val="auto"/>
        </w:rPr>
        <w:t>“</w:t>
      </w:r>
      <w:r>
        <w:rPr>
          <w:rFonts w:ascii="Arial" w:cs="Arial" w:eastAsia="Arial" w:hAnsi="Arial"/>
          <w:sz w:val="21"/>
          <w:szCs w:val="21"/>
          <w:b w:val="1"/>
          <w:bCs w:val="1"/>
          <w:i w:val="1"/>
          <w:iCs w:val="1"/>
          <w:color w:val="auto"/>
        </w:rPr>
        <w:t>Materially Impair</w:t>
      </w:r>
      <w:r>
        <w:rPr>
          <w:rFonts w:ascii="Arial" w:cs="Arial" w:eastAsia="Arial" w:hAnsi="Arial"/>
          <w:sz w:val="21"/>
          <w:szCs w:val="21"/>
          <w:color w:val="auto"/>
        </w:rPr>
        <w:t>” means any amendment to the terms of the Award that materially adversely affects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(ai) </w:t>
      </w:r>
      <w:r>
        <w:rPr>
          <w:rFonts w:ascii="Arial" w:cs="Arial" w:eastAsia="Arial" w:hAnsi="Arial"/>
          <w:sz w:val="19"/>
          <w:szCs w:val="19"/>
          <w:color w:val="auto"/>
        </w:rPr>
        <w:t>“</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means a Director who either (i) is not a current employee or officer of the Company or</w:t>
      </w:r>
      <w:r>
        <w:rPr>
          <w:rFonts w:ascii="Arial" w:cs="Arial" w:eastAsia="Arial" w:hAnsi="Arial"/>
          <w:sz w:val="19"/>
          <w:szCs w:val="19"/>
          <w:b w:val="1"/>
          <w:bCs w:val="1"/>
          <w:color w:val="auto"/>
        </w:rPr>
        <w:t xml:space="preserve"> </w:t>
      </w:r>
      <w:r>
        <w:rPr>
          <w:rFonts w:ascii="Arial" w:cs="Arial" w:eastAsia="Arial" w:hAnsi="Arial"/>
          <w:sz w:val="19"/>
          <w:szCs w:val="19"/>
          <w:color w:val="auto"/>
        </w:rPr>
        <w:t>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9"/>
          <w:szCs w:val="19"/>
          <w:b w:val="1"/>
          <w:bCs w:val="1"/>
          <w:i w:val="1"/>
          <w:iCs w:val="1"/>
          <w:color w:val="auto"/>
        </w:rPr>
        <w:t>Regulation S-K</w:t>
      </w:r>
      <w:r>
        <w:rPr>
          <w:rFonts w:ascii="Arial" w:cs="Arial" w:eastAsia="Arial" w:hAnsi="Arial"/>
          <w:sz w:val="19"/>
          <w:szCs w:val="19"/>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294" w:name="page295"/>
    <w:bookmarkEnd w:id="294"/>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(aj) </w:t>
      </w:r>
      <w:r>
        <w:rPr>
          <w:rFonts w:ascii="Arial" w:cs="Arial" w:eastAsia="Arial" w:hAnsi="Arial"/>
          <w:sz w:val="22"/>
          <w:szCs w:val="22"/>
          <w:color w:val="auto"/>
        </w:rPr>
        <w:t>“</w:t>
      </w:r>
      <w:r>
        <w:rPr>
          <w:rFonts w:ascii="Arial" w:cs="Arial" w:eastAsia="Arial" w:hAnsi="Arial"/>
          <w:sz w:val="22"/>
          <w:szCs w:val="22"/>
          <w:b w:val="1"/>
          <w:bCs w:val="1"/>
          <w:i w:val="1"/>
          <w:iCs w:val="1"/>
          <w:color w:val="auto"/>
        </w:rPr>
        <w:t>Non-Exempt Award</w:t>
      </w:r>
      <w:r>
        <w:rPr>
          <w:rFonts w:ascii="Arial" w:cs="Arial" w:eastAsia="Arial" w:hAnsi="Arial"/>
          <w:sz w:val="22"/>
          <w:szCs w:val="22"/>
          <w:color w:val="auto"/>
        </w:rPr>
        <w:t>” means any Award that is subject to, and not exempt from, Section 409A, including as the</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(i) a deferral of the issuance of the shares subject to the Award which is elected by the Participant or imposed by the Company, or (ii) the terms of any Non-Exempt Severance Agreement.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(ak) </w:t>
      </w:r>
      <w:r>
        <w:rPr>
          <w:rFonts w:ascii="Arial" w:cs="Arial" w:eastAsia="Arial" w:hAnsi="Arial"/>
          <w:sz w:val="22"/>
          <w:szCs w:val="22"/>
          <w:color w:val="auto"/>
        </w:rPr>
        <w:t>“</w:t>
      </w:r>
      <w:r>
        <w:rPr>
          <w:rFonts w:ascii="Arial" w:cs="Arial" w:eastAsia="Arial" w:hAnsi="Arial"/>
          <w:sz w:val="22"/>
          <w:szCs w:val="22"/>
          <w:b w:val="1"/>
          <w:bCs w:val="1"/>
          <w:i w:val="1"/>
          <w:iCs w:val="1"/>
          <w:color w:val="auto"/>
        </w:rPr>
        <w:t>Non-Exempt Director Award</w:t>
      </w:r>
      <w:r>
        <w:rPr>
          <w:rFonts w:ascii="Arial" w:cs="Arial" w:eastAsia="Arial" w:hAnsi="Arial"/>
          <w:sz w:val="22"/>
          <w:szCs w:val="22"/>
          <w:color w:val="auto"/>
        </w:rPr>
        <w:t>” means a Non-Exempt Award granted to a Participant who was a Director but not</w:t>
      </w:r>
      <w:r>
        <w:rPr>
          <w:rFonts w:ascii="Arial" w:cs="Arial" w:eastAsia="Arial" w:hAnsi="Arial"/>
          <w:sz w:val="22"/>
          <w:szCs w:val="22"/>
          <w:b w:val="1"/>
          <w:bCs w:val="1"/>
          <w:color w:val="auto"/>
        </w:rPr>
        <w:t xml:space="preserve"> </w:t>
      </w:r>
      <w:r>
        <w:rPr>
          <w:rFonts w:ascii="Arial" w:cs="Arial" w:eastAsia="Arial" w:hAnsi="Arial"/>
          <w:sz w:val="22"/>
          <w:szCs w:val="22"/>
          <w:color w:val="auto"/>
        </w:rPr>
        <w:t>an Employee on the applicable grant date.</w:t>
      </w:r>
    </w:p>
    <w:p>
      <w:pPr>
        <w:spacing w:after="0" w:line="1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(al) </w:t>
      </w:r>
      <w:r>
        <w:rPr>
          <w:rFonts w:ascii="Arial" w:cs="Arial" w:eastAsia="Arial" w:hAnsi="Arial"/>
          <w:sz w:val="19"/>
          <w:szCs w:val="19"/>
          <w:color w:val="auto"/>
        </w:rPr>
        <w:t>“</w:t>
      </w:r>
      <w:r>
        <w:rPr>
          <w:rFonts w:ascii="Arial" w:cs="Arial" w:eastAsia="Arial" w:hAnsi="Arial"/>
          <w:sz w:val="19"/>
          <w:szCs w:val="19"/>
          <w:b w:val="1"/>
          <w:bCs w:val="1"/>
          <w:i w:val="1"/>
          <w:iCs w:val="1"/>
          <w:color w:val="auto"/>
        </w:rPr>
        <w:t>Non-Exempt Severance Arrangement</w:t>
      </w:r>
      <w:r>
        <w:rPr>
          <w:rFonts w:ascii="Arial" w:cs="Arial" w:eastAsia="Arial" w:hAnsi="Arial"/>
          <w:sz w:val="19"/>
          <w:szCs w:val="19"/>
          <w:color w:val="auto"/>
        </w:rPr>
        <w:t>” means a severance arrangement or other agreement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and the Company that provides for acceleration of vesting of an Award and issuance of the shares in respect of such Award upon the Participant’s termination of employment or separation from service (as such term is defined in Section 409A(a)</w:t>
      </w:r>
    </w:p>
    <w:p>
      <w:pPr>
        <w:spacing w:after="0" w:line="1" w:lineRule="exact"/>
        <w:rPr>
          <w:sz w:val="20"/>
          <w:szCs w:val="20"/>
          <w:color w:val="auto"/>
        </w:rPr>
      </w:pPr>
    </w:p>
    <w:p>
      <w:pPr>
        <w:jc w:val="both"/>
        <w:ind w:right="20"/>
        <w:spacing w:after="0" w:line="245" w:lineRule="auto"/>
        <w:rPr>
          <w:sz w:val="20"/>
          <w:szCs w:val="20"/>
          <w:color w:val="auto"/>
        </w:rPr>
      </w:pPr>
      <w:r>
        <w:rPr>
          <w:rFonts w:ascii="Arial" w:cs="Arial" w:eastAsia="Arial" w:hAnsi="Arial"/>
          <w:sz w:val="22"/>
          <w:szCs w:val="22"/>
          <w:color w:val="auto"/>
        </w:rPr>
        <w:t>(2)(A)(i) of the Code (and without regard to any alternative definition thereunder) (“</w:t>
      </w:r>
      <w:r>
        <w:rPr>
          <w:rFonts w:ascii="Arial" w:cs="Arial" w:eastAsia="Arial" w:hAnsi="Arial"/>
          <w:sz w:val="22"/>
          <w:szCs w:val="22"/>
          <w:b w:val="1"/>
          <w:bCs w:val="1"/>
          <w:i w:val="1"/>
          <w:iCs w:val="1"/>
          <w:color w:val="auto"/>
        </w:rPr>
        <w:t>Separation from Service</w:t>
      </w:r>
      <w:r>
        <w:rPr>
          <w:rFonts w:ascii="Arial" w:cs="Arial" w:eastAsia="Arial" w:hAnsi="Arial"/>
          <w:sz w:val="22"/>
          <w:szCs w:val="22"/>
          <w:color w:val="auto"/>
        </w:rPr>
        <w:t>”) and such severance benefit does not satisfy the requirements for an exemption from application of Section 409A provided under Treasury Regulations Section 1.409A-1(b)(4), 1.409A-1(b)(9) or otherwise.</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(am) </w:t>
      </w: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any option granted pursuant to Section 4 of the Plan that does not qualify as</w:t>
      </w:r>
      <w:r>
        <w:rPr>
          <w:rFonts w:ascii="Arial" w:cs="Arial" w:eastAsia="Arial" w:hAnsi="Arial"/>
          <w:sz w:val="22"/>
          <w:szCs w:val="22"/>
          <w:b w:val="1"/>
          <w:bCs w:val="1"/>
          <w:color w:val="auto"/>
        </w:rPr>
        <w:t xml:space="preserve"> </w:t>
      </w:r>
      <w:r>
        <w:rPr>
          <w:rFonts w:ascii="Arial" w:cs="Arial" w:eastAsia="Arial" w:hAnsi="Arial"/>
          <w:sz w:val="22"/>
          <w:szCs w:val="22"/>
          <w:color w:val="auto"/>
        </w:rPr>
        <w:t>an Incentive Stock Option.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9"/>
          <w:szCs w:val="19"/>
          <w:b w:val="1"/>
          <w:bCs w:val="1"/>
          <w:color w:val="auto"/>
        </w:rPr>
        <w:t>(an)</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19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(ao) </w:t>
      </w: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an Incentive Stock Option or a Nonstatutory Stock Option to purchase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pursuant to the Plan.</w:t>
      </w:r>
    </w:p>
    <w:p>
      <w:pPr>
        <w:spacing w:after="0" w:line="16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(ap) </w:t>
      </w:r>
      <w:r>
        <w:rPr>
          <w:rFonts w:ascii="Arial" w:cs="Arial" w:eastAsia="Arial" w:hAnsi="Arial"/>
          <w:sz w:val="19"/>
          <w:szCs w:val="19"/>
          <w:color w:val="auto"/>
        </w:rPr>
        <w:t>“</w:t>
      </w:r>
      <w:r>
        <w:rPr>
          <w:rFonts w:ascii="Arial" w:cs="Arial" w:eastAsia="Arial" w:hAnsi="Arial"/>
          <w:sz w:val="19"/>
          <w:szCs w:val="19"/>
          <w:b w:val="1"/>
          <w:bCs w:val="1"/>
          <w:i w:val="1"/>
          <w:iCs w:val="1"/>
          <w:color w:val="auto"/>
        </w:rPr>
        <w:t>Option Agreement</w:t>
      </w:r>
      <w:r>
        <w:rPr>
          <w:rFonts w:ascii="Arial" w:cs="Arial" w:eastAsia="Arial" w:hAnsi="Arial"/>
          <w:sz w:val="19"/>
          <w:szCs w:val="19"/>
          <w:color w:val="auto"/>
        </w:rPr>
        <w:t>” means a written agreement between the Company and the Optionholder evidencing the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(aq) </w:t>
      </w:r>
      <w:r>
        <w:rPr>
          <w:rFonts w:ascii="Arial" w:cs="Arial" w:eastAsia="Arial" w:hAnsi="Arial"/>
          <w:sz w:val="22"/>
          <w:szCs w:val="22"/>
          <w:color w:val="auto"/>
        </w:rPr>
        <w:t>“</w:t>
      </w:r>
      <w:r>
        <w:rPr>
          <w:rFonts w:ascii="Arial" w:cs="Arial" w:eastAsia="Arial" w:hAnsi="Arial"/>
          <w:sz w:val="22"/>
          <w:szCs w:val="22"/>
          <w:b w:val="1"/>
          <w:bCs w:val="1"/>
          <w:i w:val="1"/>
          <w:iCs w:val="1"/>
          <w:color w:val="auto"/>
        </w:rPr>
        <w:t>Optionholder</w:t>
      </w:r>
      <w:r>
        <w:rPr>
          <w:rFonts w:ascii="Arial" w:cs="Arial" w:eastAsia="Arial" w:hAnsi="Arial"/>
          <w:sz w:val="22"/>
          <w:szCs w:val="22"/>
          <w:color w:val="auto"/>
        </w:rPr>
        <w:t>” means a person to whom an Option is granted pursuant to the Plan or, if applicable, such other</w:t>
      </w:r>
      <w:r>
        <w:rPr>
          <w:rFonts w:ascii="Arial" w:cs="Arial" w:eastAsia="Arial" w:hAnsi="Arial"/>
          <w:sz w:val="22"/>
          <w:szCs w:val="22"/>
          <w:b w:val="1"/>
          <w:bCs w:val="1"/>
          <w:color w:val="auto"/>
        </w:rPr>
        <w:t xml:space="preserve"> </w:t>
      </w:r>
      <w:r>
        <w:rPr>
          <w:rFonts w:ascii="Arial" w:cs="Arial" w:eastAsia="Arial" w:hAnsi="Arial"/>
          <w:sz w:val="22"/>
          <w:szCs w:val="22"/>
          <w:color w:val="auto"/>
        </w:rPr>
        <w:t>person who holds an outstanding Option.</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(ar) </w:t>
      </w:r>
      <w:r>
        <w:rPr>
          <w:rFonts w:ascii="Arial" w:cs="Arial" w:eastAsia="Arial" w:hAnsi="Arial"/>
          <w:sz w:val="22"/>
          <w:szCs w:val="22"/>
          <w:color w:val="auto"/>
        </w:rPr>
        <w:t>“</w:t>
      </w:r>
      <w:r>
        <w:rPr>
          <w:rFonts w:ascii="Arial" w:cs="Arial" w:eastAsia="Arial" w:hAnsi="Arial"/>
          <w:sz w:val="22"/>
          <w:szCs w:val="22"/>
          <w:b w:val="1"/>
          <w:bCs w:val="1"/>
          <w:i w:val="1"/>
          <w:iCs w:val="1"/>
          <w:color w:val="auto"/>
        </w:rPr>
        <w:t>Other Award</w:t>
      </w:r>
      <w:r>
        <w:rPr>
          <w:rFonts w:ascii="Arial" w:cs="Arial" w:eastAsia="Arial" w:hAnsi="Arial"/>
          <w:sz w:val="22"/>
          <w:szCs w:val="22"/>
          <w:color w:val="auto"/>
        </w:rPr>
        <w:t>” means an award based in whole or in part by reference to the Common Stock which is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terms and conditions of Section 5(c).</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(as) </w:t>
      </w:r>
      <w:r>
        <w:rPr>
          <w:rFonts w:ascii="Arial" w:cs="Arial" w:eastAsia="Arial" w:hAnsi="Arial"/>
          <w:sz w:val="22"/>
          <w:szCs w:val="22"/>
          <w:color w:val="auto"/>
        </w:rPr>
        <w:t>“</w:t>
      </w:r>
      <w:r>
        <w:rPr>
          <w:rFonts w:ascii="Arial" w:cs="Arial" w:eastAsia="Arial" w:hAnsi="Arial"/>
          <w:sz w:val="22"/>
          <w:szCs w:val="22"/>
          <w:b w:val="1"/>
          <w:bCs w:val="1"/>
          <w:i w:val="1"/>
          <w:iCs w:val="1"/>
          <w:color w:val="auto"/>
        </w:rPr>
        <w:t>Other Award Agreement</w:t>
      </w:r>
      <w:r>
        <w:rPr>
          <w:rFonts w:ascii="Arial" w:cs="Arial" w:eastAsia="Arial" w:hAnsi="Arial"/>
          <w:sz w:val="22"/>
          <w:szCs w:val="22"/>
          <w:color w:val="auto"/>
        </w:rPr>
        <w:t>” means a written agreement between the Company and a holder of an Other Award</w:t>
      </w:r>
      <w:r>
        <w:rPr>
          <w:rFonts w:ascii="Arial" w:cs="Arial" w:eastAsia="Arial" w:hAnsi="Arial"/>
          <w:sz w:val="22"/>
          <w:szCs w:val="22"/>
          <w:b w:val="1"/>
          <w:bCs w:val="1"/>
          <w:color w:val="auto"/>
        </w:rPr>
        <w:t xml:space="preserve"> </w:t>
      </w:r>
      <w:r>
        <w:rPr>
          <w:rFonts w:ascii="Arial" w:cs="Arial" w:eastAsia="Arial" w:hAnsi="Arial"/>
          <w:sz w:val="22"/>
          <w:szCs w:val="22"/>
          <w:color w:val="auto"/>
        </w:rPr>
        <w:t>evidencing the terms and conditions of an Other Award grant. Each Other Award Agreement will be subject to the terms and conditions of the Plan.</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(at) </w:t>
      </w:r>
      <w:r>
        <w:rPr>
          <w:rFonts w:ascii="Arial" w:cs="Arial" w:eastAsia="Arial" w:hAnsi="Arial"/>
          <w:sz w:val="22"/>
          <w:szCs w:val="22"/>
          <w:color w:val="auto"/>
        </w:rPr>
        <w:t>“</w:t>
      </w:r>
      <w:r>
        <w:rPr>
          <w:rFonts w:ascii="Arial" w:cs="Arial" w:eastAsia="Arial" w:hAnsi="Arial"/>
          <w:sz w:val="22"/>
          <w:szCs w:val="22"/>
          <w:b w:val="1"/>
          <w:bCs w:val="1"/>
          <w:i w:val="1"/>
          <w:iCs w:val="1"/>
          <w:color w:val="auto"/>
        </w:rPr>
        <w:t>Own,</w:t>
      </w:r>
      <w:r>
        <w:rPr>
          <w:rFonts w:ascii="Arial" w:cs="Arial" w:eastAsia="Arial" w:hAnsi="Arial"/>
          <w:sz w:val="22"/>
          <w:szCs w:val="22"/>
          <w:color w:val="auto"/>
        </w:rPr>
        <w:t>” “</w:t>
      </w:r>
      <w:r>
        <w:rPr>
          <w:rFonts w:ascii="Arial" w:cs="Arial" w:eastAsia="Arial" w:hAnsi="Arial"/>
          <w:sz w:val="22"/>
          <w:szCs w:val="22"/>
          <w:b w:val="1"/>
          <w:bCs w:val="1"/>
          <w:i w:val="1"/>
          <w:iCs w:val="1"/>
          <w:color w:val="auto"/>
        </w:rPr>
        <w:t>Owned,</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Ownership</w:t>
      </w:r>
      <w:r>
        <w:rPr>
          <w:rFonts w:ascii="Arial" w:cs="Arial" w:eastAsia="Arial" w:hAnsi="Arial"/>
          <w:sz w:val="22"/>
          <w:szCs w:val="22"/>
          <w:color w:val="auto"/>
        </w:rPr>
        <w:t>” means that a person or Entity will be deemed to “Own,” to have</w:t>
      </w:r>
      <w:r>
        <w:rPr>
          <w:rFonts w:ascii="Arial" w:cs="Arial" w:eastAsia="Arial" w:hAnsi="Arial"/>
          <w:sz w:val="22"/>
          <w:szCs w:val="22"/>
          <w:b w:val="1"/>
          <w:bCs w:val="1"/>
          <w:color w:val="auto"/>
        </w:rPr>
        <w:t xml:space="preserve"> </w:t>
      </w:r>
      <w:r>
        <w:rPr>
          <w:rFonts w:ascii="Arial" w:cs="Arial" w:eastAsia="Arial" w:hAnsi="Arial"/>
          <w:sz w:val="22"/>
          <w:szCs w:val="22"/>
          <w:color w:val="auto"/>
        </w:rPr>
        <w:t>“Owned,” to be the “Owner” of, or to have acquired “Ownership” of securities if such person or Entity, directly or indirectly, through any contract,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2" w:right="339" w:bottom="1440" w:gutter="0" w:footer="0" w:header="0"/>
        </w:sectPr>
      </w:pPr>
    </w:p>
    <w:bookmarkStart w:id="295" w:name="page296"/>
    <w:bookmarkEnd w:id="295"/>
    <w:p>
      <w:pPr>
        <w:jc w:val="both"/>
        <w:ind w:right="20"/>
        <w:spacing w:after="0" w:line="263" w:lineRule="auto"/>
        <w:rPr>
          <w:sz w:val="20"/>
          <w:szCs w:val="20"/>
          <w:color w:val="auto"/>
        </w:rPr>
      </w:pPr>
      <w:r>
        <w:rPr>
          <w:rFonts w:ascii="Arial" w:cs="Arial" w:eastAsia="Arial" w:hAnsi="Arial"/>
          <w:sz w:val="22"/>
          <w:szCs w:val="22"/>
          <w:color w:val="auto"/>
        </w:rPr>
        <w:t>understanding, relationship or otherwise, has or shares voting power, which includes the power to vote or to direct the voting, with respect to such securities.</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(au) </w:t>
      </w: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 Employee, Director or Consultant to whom an Award is granted pursuant to the Plan or, if</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such other person who holds an outstanding Award.</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(av) </w:t>
      </w: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Award</w:t>
      </w:r>
      <w:r>
        <w:rPr>
          <w:rFonts w:ascii="Arial" w:cs="Arial" w:eastAsia="Arial" w:hAnsi="Arial"/>
          <w:sz w:val="19"/>
          <w:szCs w:val="19"/>
          <w:color w:val="auto"/>
        </w:rPr>
        <w:t>” means an Award that may vest or may be exercised or a cash award that may vest or</w:t>
      </w:r>
      <w:r>
        <w:rPr>
          <w:rFonts w:ascii="Arial" w:cs="Arial" w:eastAsia="Arial" w:hAnsi="Arial"/>
          <w:sz w:val="19"/>
          <w:szCs w:val="19"/>
          <w:b w:val="1"/>
          <w:bCs w:val="1"/>
          <w:color w:val="auto"/>
        </w:rPr>
        <w:t xml:space="preserve"> </w:t>
      </w:r>
      <w:r>
        <w:rPr>
          <w:rFonts w:ascii="Arial" w:cs="Arial" w:eastAsia="Arial" w:hAnsi="Arial"/>
          <w:sz w:val="19"/>
          <w:szCs w:val="19"/>
          <w:color w:val="auto"/>
        </w:rPr>
        <w:t>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4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(aw) </w:t>
      </w: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Criteria</w:t>
      </w:r>
      <w:r>
        <w:rPr>
          <w:rFonts w:ascii="Arial" w:cs="Arial" w:eastAsia="Arial" w:hAnsi="Arial"/>
          <w:sz w:val="19"/>
          <w:szCs w:val="19"/>
          <w:color w:val="auto"/>
        </w:rPr>
        <w:t>” means one or more criteria that the Board will select for purposes of establishing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(ax) </w:t>
      </w: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Goals</w:t>
      </w:r>
      <w:r>
        <w:rPr>
          <w:rFonts w:ascii="Arial" w:cs="Arial" w:eastAsia="Arial" w:hAnsi="Arial"/>
          <w:sz w:val="22"/>
          <w:szCs w:val="22"/>
          <w:color w:val="auto"/>
        </w:rPr>
        <w:t>” means, for a Performance Period, one or more goals established by the Board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Period based upon the Performance Criteria. Performance Goals may be based on a Company-wide basis, with respect to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296" w:name="page297"/>
    <w:bookmarkEnd w:id="296"/>
    <w:p>
      <w:pPr>
        <w:jc w:val="both"/>
        <w:spacing w:after="0" w:line="285" w:lineRule="auto"/>
        <w:rPr>
          <w:sz w:val="20"/>
          <w:szCs w:val="20"/>
          <w:color w:val="auto"/>
        </w:rPr>
      </w:pPr>
      <w:r>
        <w:rPr>
          <w:rFonts w:ascii="Arial" w:cs="Arial" w:eastAsia="Arial" w:hAnsi="Arial"/>
          <w:sz w:val="19"/>
          <w:szCs w:val="19"/>
          <w:color w:val="auto"/>
        </w:rPr>
        <w:t>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w:t>
      </w:r>
    </w:p>
    <w:p>
      <w:pPr>
        <w:jc w:val="both"/>
        <w:ind w:firstLine="8"/>
        <w:spacing w:after="0" w:line="284" w:lineRule="auto"/>
        <w:tabs>
          <w:tab w:leader="none" w:pos="31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59"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b w:val="1"/>
          <w:bCs w:val="1"/>
          <w:color w:val="auto"/>
        </w:rPr>
        <w:t xml:space="preserve">(ay) </w:t>
      </w:r>
      <w:r>
        <w:rPr>
          <w:rFonts w:ascii="Arial" w:cs="Arial" w:eastAsia="Arial" w:hAnsi="Arial"/>
          <w:sz w:val="21"/>
          <w:szCs w:val="21"/>
          <w:color w:val="auto"/>
        </w:rPr>
        <w:t>“</w:t>
      </w:r>
      <w:r>
        <w:rPr>
          <w:rFonts w:ascii="Arial" w:cs="Arial" w:eastAsia="Arial" w:hAnsi="Arial"/>
          <w:sz w:val="21"/>
          <w:szCs w:val="21"/>
          <w:b w:val="1"/>
          <w:bCs w:val="1"/>
          <w:i w:val="1"/>
          <w:iCs w:val="1"/>
          <w:color w:val="auto"/>
        </w:rPr>
        <w:t>Performance Period</w:t>
      </w:r>
      <w:r>
        <w:rPr>
          <w:rFonts w:ascii="Arial" w:cs="Arial" w:eastAsia="Arial" w:hAnsi="Arial"/>
          <w:sz w:val="21"/>
          <w:szCs w:val="21"/>
          <w:color w:val="auto"/>
        </w:rPr>
        <w:t>” means the period of time selected by the Board over which the attainment of one or more</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Goals will be measured for the purpose of determining a Participant’s right to vesting or exercise of an Award. Performance Periods may be of varying and overlapping duration, at the sole discretion of the Board.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(az)</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NerdWallet, Inc. 2021 Equity Incentive Plan, as amended from time to time.</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(ba) </w:t>
      </w:r>
      <w:r>
        <w:rPr>
          <w:rFonts w:ascii="Arial" w:cs="Arial" w:eastAsia="Arial" w:hAnsi="Arial"/>
          <w:sz w:val="22"/>
          <w:szCs w:val="22"/>
          <w:color w:val="auto"/>
        </w:rPr>
        <w:t>“</w:t>
      </w:r>
      <w:r>
        <w:rPr>
          <w:rFonts w:ascii="Arial" w:cs="Arial" w:eastAsia="Arial" w:hAnsi="Arial"/>
          <w:sz w:val="22"/>
          <w:szCs w:val="22"/>
          <w:b w:val="1"/>
          <w:bCs w:val="1"/>
          <w:i w:val="1"/>
          <w:iCs w:val="1"/>
          <w:color w:val="auto"/>
        </w:rPr>
        <w:t>Plan Administrator</w:t>
      </w:r>
      <w:r>
        <w:rPr>
          <w:rFonts w:ascii="Arial" w:cs="Arial" w:eastAsia="Arial" w:hAnsi="Arial"/>
          <w:sz w:val="22"/>
          <w:szCs w:val="22"/>
          <w:color w:val="auto"/>
        </w:rPr>
        <w:t>” means the person, persons, and/or third-party administrator designated by the Company to</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 the day to day operations of the Plan and the Company’s other equity incentive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297" w:name="page298"/>
    <w:bookmarkEnd w:id="297"/>
    <w:p>
      <w:pPr>
        <w:ind w:firstLine="656"/>
        <w:spacing w:after="0" w:line="263" w:lineRule="auto"/>
        <w:tabs>
          <w:tab w:leader="none" w:pos="1289" w:val="left"/>
        </w:tabs>
        <w:numPr>
          <w:ilvl w:val="0"/>
          <w:numId w:val="25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Post-Termination Exercise Period</w:t>
      </w:r>
      <w:r>
        <w:rPr>
          <w:rFonts w:ascii="Arial" w:cs="Arial" w:eastAsia="Arial" w:hAnsi="Arial"/>
          <w:sz w:val="22"/>
          <w:szCs w:val="22"/>
          <w:color w:val="auto"/>
        </w:rPr>
        <w:t>” means the period following termination of a Participant’s Continuous Service within which an Option or SAR is exercisable, as specified in Section 4(h).</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(bc)</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i w:val="1"/>
          <w:iCs w:val="1"/>
          <w:color w:val="auto"/>
        </w:rPr>
        <w:t>Prior Plan</w:t>
      </w:r>
      <w:r>
        <w:rPr>
          <w:rFonts w:ascii="Arial" w:cs="Arial" w:eastAsia="Arial" w:hAnsi="Arial"/>
          <w:sz w:val="22"/>
          <w:szCs w:val="22"/>
          <w:color w:val="auto"/>
        </w:rPr>
        <w:t>” means the NerdWallet, Inc. 2012 Equity Incentive Plan.</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9"/>
          <w:szCs w:val="19"/>
          <w:b w:val="1"/>
          <w:bCs w:val="1"/>
          <w:color w:val="auto"/>
        </w:rPr>
        <w:t>(bd)</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means the document containing the Plan information specified in Section 10(a) of the Securities Act.</w:t>
      </w:r>
    </w:p>
    <w:p>
      <w:pPr>
        <w:spacing w:after="0" w:line="2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(be) </w:t>
      </w: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Award</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RSA</w:t>
      </w:r>
      <w:r>
        <w:rPr>
          <w:rFonts w:ascii="Arial" w:cs="Arial" w:eastAsia="Arial" w:hAnsi="Arial"/>
          <w:sz w:val="22"/>
          <w:szCs w:val="22"/>
          <w:color w:val="auto"/>
        </w:rPr>
        <w:t>” means an Award of shares of Common Stock which is granted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of Section 5(a).</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(bf) </w:t>
      </w: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Stock Award Agreement</w:t>
      </w:r>
      <w:r>
        <w:rPr>
          <w:rFonts w:ascii="Arial" w:cs="Arial" w:eastAsia="Arial" w:hAnsi="Arial"/>
          <w:sz w:val="19"/>
          <w:szCs w:val="19"/>
          <w:color w:val="auto"/>
        </w:rPr>
        <w:t>” means a written agreement between the Company and a holder of a</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4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(bg) </w:t>
      </w:r>
      <w:r>
        <w:rPr>
          <w:rFonts w:ascii="Arial" w:cs="Arial" w:eastAsia="Arial" w:hAnsi="Arial"/>
          <w:sz w:val="19"/>
          <w:szCs w:val="19"/>
          <w:color w:val="auto"/>
        </w:rPr>
        <w:t>“</w:t>
      </w:r>
      <w:r>
        <w:rPr>
          <w:rFonts w:ascii="Arial" w:cs="Arial" w:eastAsia="Arial" w:hAnsi="Arial"/>
          <w:sz w:val="19"/>
          <w:szCs w:val="19"/>
          <w:b w:val="1"/>
          <w:bCs w:val="1"/>
          <w:i w:val="1"/>
          <w:iCs w:val="1"/>
          <w:color w:val="auto"/>
        </w:rPr>
        <w:t>Returning Shares</w:t>
      </w:r>
      <w:r>
        <w:rPr>
          <w:rFonts w:ascii="Arial" w:cs="Arial" w:eastAsia="Arial" w:hAnsi="Arial"/>
          <w:sz w:val="19"/>
          <w:szCs w:val="19"/>
          <w:color w:val="auto"/>
        </w:rPr>
        <w:t>” means shares subject to outstanding stock awards granted under the Prior Plan and that</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4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(bh) </w:t>
      </w:r>
      <w:r>
        <w:rPr>
          <w:rFonts w:ascii="Arial" w:cs="Arial" w:eastAsia="Arial" w:hAnsi="Arial"/>
          <w:sz w:val="22"/>
          <w:szCs w:val="22"/>
          <w:color w:val="auto"/>
        </w:rPr>
        <w:t>“</w:t>
      </w:r>
      <w:r>
        <w:rPr>
          <w:rFonts w:ascii="Arial" w:cs="Arial" w:eastAsia="Arial" w:hAnsi="Arial"/>
          <w:sz w:val="22"/>
          <w:szCs w:val="22"/>
          <w:b w:val="1"/>
          <w:bCs w:val="1"/>
          <w:i w:val="1"/>
          <w:iCs w:val="1"/>
          <w:color w:val="auto"/>
        </w:rPr>
        <w:t>RSU Award</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RSU</w:t>
      </w:r>
      <w:r>
        <w:rPr>
          <w:rFonts w:ascii="Arial" w:cs="Arial" w:eastAsia="Arial" w:hAnsi="Arial"/>
          <w:sz w:val="22"/>
          <w:szCs w:val="22"/>
          <w:color w:val="auto"/>
        </w:rPr>
        <w:t>” means an Award of restricted stock units representing the right to receive an issuance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of Common Stock which is granted pursuant to the terms and conditions of Section 5(a).</w:t>
      </w:r>
    </w:p>
    <w:p>
      <w:pPr>
        <w:spacing w:after="0" w:line="1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(bi) </w:t>
      </w:r>
      <w:r>
        <w:rPr>
          <w:rFonts w:ascii="Arial" w:cs="Arial" w:eastAsia="Arial" w:hAnsi="Arial"/>
          <w:sz w:val="22"/>
          <w:szCs w:val="22"/>
          <w:color w:val="auto"/>
        </w:rPr>
        <w:t>“</w:t>
      </w:r>
      <w:r>
        <w:rPr>
          <w:rFonts w:ascii="Arial" w:cs="Arial" w:eastAsia="Arial" w:hAnsi="Arial"/>
          <w:sz w:val="22"/>
          <w:szCs w:val="22"/>
          <w:b w:val="1"/>
          <w:bCs w:val="1"/>
          <w:i w:val="1"/>
          <w:iCs w:val="1"/>
          <w:color w:val="auto"/>
        </w:rPr>
        <w:t>RSU Award Agreement</w:t>
      </w:r>
      <w:r>
        <w:rPr>
          <w:rFonts w:ascii="Arial" w:cs="Arial" w:eastAsia="Arial" w:hAnsi="Arial"/>
          <w:sz w:val="22"/>
          <w:szCs w:val="22"/>
          <w:color w:val="auto"/>
        </w:rPr>
        <w:t>” means a written agreement between the Company and a holder of an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evidencing the terms and conditions of an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(bj) </w:t>
      </w: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promulgated under the Exchange Act or any successor to Rule 16b-3, as in effect</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(bk)</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i w:val="1"/>
          <w:iCs w:val="1"/>
          <w:color w:val="auto"/>
        </w:rPr>
        <w:t>Rule 405</w:t>
      </w:r>
      <w:r>
        <w:rPr>
          <w:rFonts w:ascii="Arial" w:cs="Arial" w:eastAsia="Arial" w:hAnsi="Arial"/>
          <w:sz w:val="22"/>
          <w:szCs w:val="22"/>
          <w:color w:val="auto"/>
        </w:rPr>
        <w:t>” means Rule 405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298" w:name="page299"/>
    <w:bookmarkEnd w:id="298"/>
    <w:p>
      <w:pPr>
        <w:ind w:left="660"/>
        <w:spacing w:after="0"/>
        <w:tabs>
          <w:tab w:leader="none" w:pos="1280" w:val="left"/>
        </w:tabs>
        <w:rPr>
          <w:sz w:val="20"/>
          <w:szCs w:val="20"/>
          <w:color w:val="auto"/>
        </w:rPr>
      </w:pPr>
      <w:r>
        <w:rPr>
          <w:rFonts w:ascii="Arial" w:cs="Arial" w:eastAsia="Arial" w:hAnsi="Arial"/>
          <w:sz w:val="22"/>
          <w:szCs w:val="22"/>
          <w:b w:val="1"/>
          <w:bCs w:val="1"/>
          <w:color w:val="auto"/>
        </w:rPr>
        <w:t>(bl)</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i w:val="1"/>
          <w:iCs w:val="1"/>
          <w:color w:val="auto"/>
        </w:rPr>
        <w:t>Section 409A</w:t>
      </w:r>
      <w:r>
        <w:rPr>
          <w:rFonts w:ascii="Arial" w:cs="Arial" w:eastAsia="Arial" w:hAnsi="Arial"/>
          <w:sz w:val="22"/>
          <w:szCs w:val="22"/>
          <w:color w:val="auto"/>
        </w:rPr>
        <w:t>” means Section 409A of the Code and the regulations and other guidance thereunder.</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(bm) </w:t>
      </w:r>
      <w:r>
        <w:rPr>
          <w:rFonts w:ascii="Arial" w:cs="Arial" w:eastAsia="Arial" w:hAnsi="Arial"/>
          <w:sz w:val="21"/>
          <w:szCs w:val="21"/>
          <w:color w:val="auto"/>
        </w:rPr>
        <w:t>“</w:t>
      </w:r>
      <w:r>
        <w:rPr>
          <w:rFonts w:ascii="Arial" w:cs="Arial" w:eastAsia="Arial" w:hAnsi="Arial"/>
          <w:sz w:val="21"/>
          <w:szCs w:val="21"/>
          <w:b w:val="1"/>
          <w:bCs w:val="1"/>
          <w:i w:val="1"/>
          <w:iCs w:val="1"/>
          <w:color w:val="auto"/>
        </w:rPr>
        <w:t>Section 409A Change in Control</w:t>
      </w:r>
      <w:r>
        <w:rPr>
          <w:rFonts w:ascii="Arial" w:cs="Arial" w:eastAsia="Arial" w:hAnsi="Arial"/>
          <w:sz w:val="21"/>
          <w:szCs w:val="21"/>
          <w:color w:val="auto"/>
        </w:rPr>
        <w:t>” means a change in the ownership or effective control of the Company, or in</w:t>
      </w:r>
      <w:r>
        <w:rPr>
          <w:rFonts w:ascii="Arial" w:cs="Arial" w:eastAsia="Arial" w:hAnsi="Arial"/>
          <w:sz w:val="21"/>
          <w:szCs w:val="21"/>
          <w:b w:val="1"/>
          <w:bCs w:val="1"/>
          <w:color w:val="auto"/>
        </w:rPr>
        <w:t xml:space="preserve"> </w:t>
      </w:r>
      <w:r>
        <w:rPr>
          <w:rFonts w:ascii="Arial" w:cs="Arial" w:eastAsia="Arial" w:hAnsi="Arial"/>
          <w:sz w:val="21"/>
          <w:szCs w:val="21"/>
          <w:color w:val="auto"/>
        </w:rPr>
        <w:t>the ownership of a substantial portion of the Company’s assets, as provided in Section 409A(a)(2)(A)(v) of the Code and Treasury Regulations Section 1.409A-3(i)(5) (without regard to any alternative definition thereunder).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(bn)</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9"/>
          <w:szCs w:val="19"/>
          <w:b w:val="1"/>
          <w:bCs w:val="1"/>
          <w:color w:val="auto"/>
        </w:rPr>
        <w:t>(bo)</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Share Reserve</w:t>
      </w:r>
      <w:r>
        <w:rPr>
          <w:rFonts w:ascii="Arial" w:cs="Arial" w:eastAsia="Arial" w:hAnsi="Arial"/>
          <w:sz w:val="19"/>
          <w:szCs w:val="19"/>
          <w:color w:val="auto"/>
        </w:rPr>
        <w:t>” means the number of shares available for issuance under the Plan as set forth in Section 2(a).</w:t>
      </w:r>
    </w:p>
    <w:p>
      <w:pPr>
        <w:spacing w:after="0" w:line="2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(bp) </w:t>
      </w:r>
      <w:r>
        <w:rPr>
          <w:rFonts w:ascii="Arial" w:cs="Arial" w:eastAsia="Arial" w:hAnsi="Arial"/>
          <w:sz w:val="22"/>
          <w:szCs w:val="22"/>
          <w:color w:val="auto"/>
        </w:rPr>
        <w:t>“</w:t>
      </w:r>
      <w:r>
        <w:rPr>
          <w:rFonts w:ascii="Arial" w:cs="Arial" w:eastAsia="Arial" w:hAnsi="Arial"/>
          <w:sz w:val="22"/>
          <w:szCs w:val="22"/>
          <w:b w:val="1"/>
          <w:bCs w:val="1"/>
          <w:i w:val="1"/>
          <w:iCs w:val="1"/>
          <w:color w:val="auto"/>
        </w:rPr>
        <w:t>Stock Appreciation Right</w:t>
      </w:r>
      <w:r>
        <w:rPr>
          <w:rFonts w:ascii="Arial" w:cs="Arial" w:eastAsia="Arial" w:hAnsi="Arial"/>
          <w:sz w:val="22"/>
          <w:szCs w:val="22"/>
          <w:color w:val="auto"/>
        </w:rPr>
        <w:t>” or “</w:t>
      </w:r>
      <w:r>
        <w:rPr>
          <w:rFonts w:ascii="Arial" w:cs="Arial" w:eastAsia="Arial" w:hAnsi="Arial"/>
          <w:sz w:val="22"/>
          <w:szCs w:val="22"/>
          <w:b w:val="1"/>
          <w:bCs w:val="1"/>
          <w:i w:val="1"/>
          <w:iCs w:val="1"/>
          <w:color w:val="auto"/>
        </w:rPr>
        <w:t>SAR</w:t>
      </w:r>
      <w:r>
        <w:rPr>
          <w:rFonts w:ascii="Arial" w:cs="Arial" w:eastAsia="Arial" w:hAnsi="Arial"/>
          <w:sz w:val="22"/>
          <w:szCs w:val="22"/>
          <w:color w:val="auto"/>
        </w:rPr>
        <w:t>” means a right to receive the appreciation on Common Stock that is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terms and conditions of Section 4.</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(bq) </w:t>
      </w:r>
      <w:r>
        <w:rPr>
          <w:rFonts w:ascii="Arial" w:cs="Arial" w:eastAsia="Arial" w:hAnsi="Arial"/>
          <w:sz w:val="21"/>
          <w:szCs w:val="21"/>
          <w:color w:val="auto"/>
        </w:rPr>
        <w:t>“</w:t>
      </w:r>
      <w:r>
        <w:rPr>
          <w:rFonts w:ascii="Arial" w:cs="Arial" w:eastAsia="Arial" w:hAnsi="Arial"/>
          <w:sz w:val="21"/>
          <w:szCs w:val="21"/>
          <w:b w:val="1"/>
          <w:bCs w:val="1"/>
          <w:i w:val="1"/>
          <w:iCs w:val="1"/>
          <w:color w:val="auto"/>
        </w:rPr>
        <w:t>SAR Agreement</w:t>
      </w:r>
      <w:r>
        <w:rPr>
          <w:rFonts w:ascii="Arial" w:cs="Arial" w:eastAsia="Arial" w:hAnsi="Arial"/>
          <w:sz w:val="21"/>
          <w:szCs w:val="21"/>
          <w:color w:val="auto"/>
        </w:rPr>
        <w:t>” means a written agreement between the Company and a holder of a SAR evidencing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6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(br) </w:t>
      </w: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with respect to the Company, (i) any corporation of which more than 50% of the outstanding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(bs) </w:t>
      </w:r>
      <w:r>
        <w:rPr>
          <w:rFonts w:ascii="Arial" w:cs="Arial" w:eastAsia="Arial" w:hAnsi="Arial"/>
          <w:sz w:val="22"/>
          <w:szCs w:val="22"/>
          <w:color w:val="auto"/>
        </w:rPr>
        <w:t>“</w:t>
      </w:r>
      <w:r>
        <w:rPr>
          <w:rFonts w:ascii="Arial" w:cs="Arial" w:eastAsia="Arial" w:hAnsi="Arial"/>
          <w:sz w:val="22"/>
          <w:szCs w:val="22"/>
          <w:b w:val="1"/>
          <w:bCs w:val="1"/>
          <w:i w:val="1"/>
          <w:iCs w:val="1"/>
          <w:color w:val="auto"/>
        </w:rPr>
        <w:t>Ten Percent Stockholder</w:t>
      </w:r>
      <w:r>
        <w:rPr>
          <w:rFonts w:ascii="Arial" w:cs="Arial" w:eastAsia="Arial" w:hAnsi="Arial"/>
          <w:sz w:val="22"/>
          <w:szCs w:val="22"/>
          <w:color w:val="auto"/>
        </w:rPr>
        <w:t>” means a person who Owns (or is deemed to Own pursuant to Section 424(d)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Code) stock possessing more than 10% of the total combined voting power of all classes of stock of the Company or any Affiliate.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(bt) </w:t>
      </w: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"window" periods and/or otherwise restricts the ability of certain individuals to transfer or encumber Company shares, as in effect from time to time.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(bu) </w:t>
      </w:r>
      <w:r>
        <w:rPr>
          <w:rFonts w:ascii="Arial" w:cs="Arial" w:eastAsia="Arial" w:hAnsi="Arial"/>
          <w:sz w:val="22"/>
          <w:szCs w:val="22"/>
          <w:color w:val="auto"/>
        </w:rPr>
        <w:t>“</w:t>
      </w:r>
      <w:r>
        <w:rPr>
          <w:rFonts w:ascii="Arial" w:cs="Arial" w:eastAsia="Arial" w:hAnsi="Arial"/>
          <w:sz w:val="22"/>
          <w:szCs w:val="22"/>
          <w:b w:val="1"/>
          <w:bCs w:val="1"/>
          <w:i w:val="1"/>
          <w:iCs w:val="1"/>
          <w:color w:val="auto"/>
        </w:rPr>
        <w:t>Unvested Non-Exempt Award</w:t>
      </w:r>
      <w:r>
        <w:rPr>
          <w:rFonts w:ascii="Arial" w:cs="Arial" w:eastAsia="Arial" w:hAnsi="Arial"/>
          <w:sz w:val="22"/>
          <w:szCs w:val="22"/>
          <w:color w:val="auto"/>
        </w:rPr>
        <w:t>” means the portion of any Non-Exempt Award that had not vested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its terms upon or prior to the date of any Corporate Transaction.</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(bv) </w:t>
      </w:r>
      <w:r>
        <w:rPr>
          <w:rFonts w:ascii="Arial" w:cs="Arial" w:eastAsia="Arial" w:hAnsi="Arial"/>
          <w:sz w:val="22"/>
          <w:szCs w:val="22"/>
          <w:color w:val="auto"/>
        </w:rPr>
        <w:t>“</w:t>
      </w:r>
      <w:r>
        <w:rPr>
          <w:rFonts w:ascii="Arial" w:cs="Arial" w:eastAsia="Arial" w:hAnsi="Arial"/>
          <w:sz w:val="22"/>
          <w:szCs w:val="22"/>
          <w:b w:val="1"/>
          <w:bCs w:val="1"/>
          <w:i w:val="1"/>
          <w:iCs w:val="1"/>
          <w:color w:val="auto"/>
        </w:rPr>
        <w:t>Vested Non-Exempt Award</w:t>
      </w:r>
      <w:r>
        <w:rPr>
          <w:rFonts w:ascii="Arial" w:cs="Arial" w:eastAsia="Arial" w:hAnsi="Arial"/>
          <w:sz w:val="22"/>
          <w:szCs w:val="22"/>
          <w:color w:val="auto"/>
        </w:rPr>
        <w:t>” means the portion of any Non-Exempt Award that had vested in accordance with its</w:t>
      </w:r>
      <w:r>
        <w:rPr>
          <w:rFonts w:ascii="Arial" w:cs="Arial" w:eastAsia="Arial" w:hAnsi="Arial"/>
          <w:sz w:val="22"/>
          <w:szCs w:val="22"/>
          <w:b w:val="1"/>
          <w:bCs w:val="1"/>
          <w:color w:val="auto"/>
        </w:rPr>
        <w:t xml:space="preserve"> </w:t>
      </w:r>
      <w:r>
        <w:rPr>
          <w:rFonts w:ascii="Arial" w:cs="Arial" w:eastAsia="Arial" w:hAnsi="Arial"/>
          <w:sz w:val="22"/>
          <w:szCs w:val="22"/>
          <w:color w:val="auto"/>
        </w:rPr>
        <w:t>terms upon or prior to the date of a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2" w:right="3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NERDWALLET, INC.</w:t>
      </w:r>
    </w:p>
    <w:p>
      <w:pPr>
        <w:spacing w:after="0" w:line="38"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STOCK OPTION GRANT NOTICE</w:t>
      </w:r>
    </w:p>
    <w:p>
      <w:pPr>
        <w:spacing w:after="0" w:line="10"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(2021 EQUITY INCENTIVE PLAN)</w:t>
      </w:r>
    </w:p>
    <w:p>
      <w:pPr>
        <w:spacing w:after="0" w:line="200" w:lineRule="exact"/>
        <w:rPr>
          <w:sz w:val="20"/>
          <w:szCs w:val="20"/>
          <w:color w:val="auto"/>
        </w:rPr>
      </w:pP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NerdWallet,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has granted to you (“</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an option to purchase the number of shares of the Common Stock set forth below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Your Option is subject to all of the terms and conditions as set forth in this Stock Option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in the Plan,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14605</wp:posOffset>
            </wp:positionV>
            <wp:extent cx="20656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14605</wp:posOffset>
            </wp:positionV>
            <wp:extent cx="20656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14605</wp:posOffset>
            </wp:positionV>
            <wp:extent cx="20656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14605</wp:posOffset>
            </wp:positionV>
            <wp:extent cx="20656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14605</wp:posOffset>
            </wp:positionV>
            <wp:extent cx="20656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14605</wp:posOffset>
            </wp:positionV>
            <wp:extent cx="20656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14605</wp:posOffset>
            </wp:positionV>
            <wp:extent cx="20656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 of Grant: </w:t>
      </w:r>
      <w:r>
        <w:rPr>
          <w:rFonts w:ascii="Arial" w:cs="Arial" w:eastAsia="Arial" w:hAnsi="Arial"/>
          <w:sz w:val="18"/>
          <w:szCs w:val="18"/>
          <w:color w:val="auto"/>
        </w:rPr>
        <w:t>[Incentive Stock Option] OR [Nonstatutory Stock Option]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Exercise and Vesting Schedule: </w:t>
      </w:r>
      <w:r>
        <w:rPr>
          <w:rFonts w:ascii="Arial" w:cs="Arial" w:eastAsia="Arial" w:hAnsi="Arial"/>
          <w:sz w:val="16"/>
          <w:szCs w:val="16"/>
          <w:color w:val="auto"/>
        </w:rPr>
        <w:t>Subject to the Optionholder’s Continuous Service through each applicable vesting date, the Option will vest as follows:</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Optionholder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166" w:lineRule="exact"/>
        <w:rPr>
          <w:sz w:val="20"/>
          <w:szCs w:val="20"/>
          <w:color w:val="auto"/>
        </w:rPr>
      </w:pPr>
    </w:p>
    <w:p>
      <w:pPr>
        <w:jc w:val="both"/>
        <w:ind w:left="980" w:hanging="324"/>
        <w:spacing w:after="0" w:line="259" w:lineRule="auto"/>
        <w:tabs>
          <w:tab w:leader="none" w:pos="94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Option is governed by the Grant Notice, and the provisions of the Plan, the Stock Option Agreement and the Notice of Exercise, all of which are made a part of this document. Unless otherwise provided in the Plan, this Grant Notice and the Stock Option Agreement (together,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9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If the Option is designated an Incentive Stock Option, it (plus other outstanding Incentive Stock Options granted to you) cannot be first exercisable for more than $100,000 in value (measured by exercise price) in any calendar year. Any excess over $100,000 is a Nonstatutory Stock Option.</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102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You consent to receive this Grant Notice, the Stock Option Agreement, the Plan and any other Plan-related documents (including the Prospectus) by electronic delivery and to participate in the Plan through an on-line or electronic system established and maintained by the Company or another third party designated by the Company.</w:t>
      </w:r>
    </w:p>
    <w:p>
      <w:pPr>
        <w:spacing w:after="0" w:line="183" w:lineRule="exact"/>
        <w:rPr>
          <w:rFonts w:ascii="Arial" w:cs="Arial" w:eastAsia="Arial" w:hAnsi="Arial"/>
          <w:sz w:val="18"/>
          <w:szCs w:val="18"/>
          <w:color w:val="auto"/>
        </w:rPr>
      </w:pPr>
    </w:p>
    <w:p>
      <w:pPr>
        <w:ind w:left="980" w:hanging="324"/>
        <w:spacing w:after="0" w:line="263" w:lineRule="auto"/>
        <w:tabs>
          <w:tab w:leader="none" w:pos="91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You have read and are familiar with the provisions of the Plan, the Grant Notice,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6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1" w:right="339" w:bottom="1440" w:gutter="0" w:footer="0" w:header="0"/>
          <w:type w:val="continuous"/>
        </w:sectPr>
      </w:pPr>
    </w:p>
    <w:bookmarkStart w:id="300" w:name="page301"/>
    <w:bookmarkEnd w:id="300"/>
    <w:p>
      <w:pPr>
        <w:ind w:left="980"/>
        <w:spacing w:after="0" w:line="277" w:lineRule="auto"/>
        <w:rPr>
          <w:sz w:val="20"/>
          <w:szCs w:val="20"/>
          <w:color w:val="auto"/>
        </w:rPr>
      </w:pPr>
      <w:r>
        <w:rPr>
          <w:rFonts w:ascii="Arial" w:cs="Arial" w:eastAsia="Arial" w:hAnsi="Arial"/>
          <w:sz w:val="18"/>
          <w:szCs w:val="18"/>
          <w:color w:val="auto"/>
        </w:rPr>
        <w:t>any written employment agreement, offer letter, severance agreement, written severance plan or policy, or other written agreement between the Company and you in each case that specifies the terms that should govern this Option.</w:t>
      </w:r>
    </w:p>
    <w:p>
      <w:pPr>
        <w:spacing w:after="0" w:line="170" w:lineRule="exact"/>
        <w:rPr>
          <w:sz w:val="20"/>
          <w:szCs w:val="20"/>
          <w:color w:val="auto"/>
        </w:rPr>
      </w:pPr>
    </w:p>
    <w:p>
      <w:pPr>
        <w:ind w:left="980" w:hanging="324"/>
        <w:spacing w:after="0" w:line="263" w:lineRule="auto"/>
        <w:tabs>
          <w:tab w:leader="none" w:pos="90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NERDWALLET, INC.</w:t>
            </w:r>
          </w:p>
        </w:tc>
        <w:tc>
          <w:tcPr>
            <w:tcW w:w="1060" w:type="dxa"/>
            <w:vAlign w:val="bottom"/>
          </w:tcPr>
          <w:p>
            <w:pPr>
              <w:spacing w:after="0"/>
              <w:rPr>
                <w:sz w:val="20"/>
                <w:szCs w:val="20"/>
                <w:color w:val="auto"/>
              </w:rPr>
            </w:pPr>
          </w:p>
        </w:tc>
        <w:tc>
          <w:tcPr>
            <w:tcW w:w="4680" w:type="dxa"/>
            <w:vAlign w:val="bottom"/>
          </w:tcPr>
          <w:p>
            <w:pPr>
              <w:ind w:left="60"/>
              <w:spacing w:after="0"/>
              <w:rPr>
                <w:sz w:val="20"/>
                <w:szCs w:val="20"/>
                <w:color w:val="auto"/>
              </w:rPr>
            </w:pPr>
            <w:r>
              <w:rPr>
                <w:rFonts w:ascii="Arial" w:cs="Arial" w:eastAsia="Arial" w:hAnsi="Arial"/>
                <w:sz w:val="18"/>
                <w:szCs w:val="18"/>
                <w:b w:val="1"/>
                <w:bCs w:val="1"/>
                <w:color w:val="auto"/>
              </w:rPr>
              <w:t>OPTIONHOLDER:</w:t>
            </w:r>
          </w:p>
        </w:tc>
      </w:tr>
      <w:tr>
        <w:trPr>
          <w:trHeight w:val="702"/>
        </w:trPr>
        <w:tc>
          <w:tcPr>
            <w:tcW w:w="5400" w:type="dxa"/>
            <w:vAlign w:val="bottom"/>
            <w:gridSpan w:val="2"/>
          </w:tcPr>
          <w:p>
            <w:pPr>
              <w:spacing w:after="0"/>
              <w:rPr>
                <w:sz w:val="20"/>
                <w:szCs w:val="20"/>
                <w:color w:val="auto"/>
              </w:rPr>
            </w:pPr>
            <w:r>
              <w:rPr>
                <w:rFonts w:ascii="Arial" w:cs="Arial" w:eastAsia="Arial" w:hAnsi="Arial"/>
                <w:sz w:val="18"/>
                <w:szCs w:val="18"/>
                <w:color w:val="auto"/>
              </w:rPr>
              <w:t>By:</w:t>
            </w:r>
          </w:p>
        </w:tc>
        <w:tc>
          <w:tcPr>
            <w:tcW w:w="5740" w:type="dxa"/>
            <w:vAlign w:val="bottom"/>
            <w:gridSpan w:val="2"/>
          </w:tcPr>
          <w:p>
            <w:pPr>
              <w:ind w:left="320"/>
              <w:spacing w:after="0"/>
              <w:rPr>
                <w:sz w:val="20"/>
                <w:szCs w:val="20"/>
                <w:color w:val="auto"/>
              </w:rPr>
            </w:pPr>
            <w:r>
              <w:rPr>
                <w:rFonts w:ascii="Arial" w:cs="Arial" w:eastAsia="Arial" w:hAnsi="Arial"/>
                <w:sz w:val="18"/>
                <w:szCs w:val="18"/>
                <w:color w:val="auto"/>
              </w:rPr>
              <w:t>By:</w:t>
            </w:r>
          </w:p>
        </w:tc>
      </w:tr>
      <w:tr>
        <w:trPr>
          <w:trHeight w:val="27"/>
        </w:trPr>
        <w:tc>
          <w:tcPr>
            <w:tcW w:w="7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4680" w:type="dxa"/>
            <w:vAlign w:val="bottom"/>
          </w:tcPr>
          <w:p>
            <w:pPr>
              <w:ind w:left="2000"/>
              <w:spacing w:after="0"/>
              <w:rPr>
                <w:sz w:val="20"/>
                <w:szCs w:val="20"/>
                <w:color w:val="auto"/>
              </w:rPr>
            </w:pPr>
            <w:r>
              <w:rPr>
                <w:rFonts w:ascii="Arial" w:cs="Arial" w:eastAsia="Arial" w:hAnsi="Arial"/>
                <w:sz w:val="18"/>
                <w:szCs w:val="18"/>
                <w:color w:val="auto"/>
              </w:rPr>
              <w:t>Signature</w:t>
            </w:r>
          </w:p>
        </w:tc>
        <w:tc>
          <w:tcPr>
            <w:tcW w:w="1060" w:type="dxa"/>
            <w:vAlign w:val="bottom"/>
          </w:tcPr>
          <w:p>
            <w:pPr>
              <w:spacing w:after="0"/>
              <w:rPr>
                <w:sz w:val="20"/>
                <w:szCs w:val="20"/>
                <w:color w:val="auto"/>
              </w:rPr>
            </w:pPr>
          </w:p>
        </w:tc>
        <w:tc>
          <w:tcPr>
            <w:tcW w:w="4680" w:type="dxa"/>
            <w:vAlign w:val="bottom"/>
          </w:tcPr>
          <w:p>
            <w:pPr>
              <w:ind w:left="2000"/>
              <w:spacing w:after="0"/>
              <w:rPr>
                <w:sz w:val="20"/>
                <w:szCs w:val="20"/>
                <w:color w:val="auto"/>
              </w:rPr>
            </w:pPr>
            <w:r>
              <w:rPr>
                <w:rFonts w:ascii="Arial" w:cs="Arial" w:eastAsia="Arial" w:hAnsi="Arial"/>
                <w:sz w:val="18"/>
                <w:szCs w:val="18"/>
                <w:color w:val="auto"/>
              </w:rPr>
              <w:t>Signature</w:t>
            </w:r>
          </w:p>
        </w:tc>
      </w:tr>
      <w:tr>
        <w:trPr>
          <w:trHeight w:val="486"/>
        </w:trPr>
        <w:tc>
          <w:tcPr>
            <w:tcW w:w="5400" w:type="dxa"/>
            <w:vAlign w:val="bottom"/>
            <w:gridSpan w:val="2"/>
          </w:tcPr>
          <w:p>
            <w:pPr>
              <w:spacing w:after="0"/>
              <w:rPr>
                <w:sz w:val="20"/>
                <w:szCs w:val="20"/>
                <w:color w:val="auto"/>
              </w:rPr>
            </w:pPr>
            <w:r>
              <w:rPr>
                <w:rFonts w:ascii="Arial" w:cs="Arial" w:eastAsia="Arial" w:hAnsi="Arial"/>
                <w:sz w:val="18"/>
                <w:szCs w:val="18"/>
                <w:color w:val="auto"/>
              </w:rPr>
              <w:t>Title:</w:t>
            </w:r>
          </w:p>
        </w:tc>
        <w:tc>
          <w:tcPr>
            <w:tcW w:w="5740" w:type="dxa"/>
            <w:vAlign w:val="bottom"/>
            <w:gridSpan w:val="2"/>
          </w:tcPr>
          <w:p>
            <w:pPr>
              <w:ind w:left="320"/>
              <w:spacing w:after="0"/>
              <w:rPr>
                <w:sz w:val="20"/>
                <w:szCs w:val="20"/>
                <w:color w:val="auto"/>
              </w:rPr>
            </w:pPr>
            <w:r>
              <w:rPr>
                <w:rFonts w:ascii="Arial" w:cs="Arial" w:eastAsia="Arial" w:hAnsi="Arial"/>
                <w:sz w:val="18"/>
                <w:szCs w:val="18"/>
                <w:color w:val="auto"/>
              </w:rPr>
              <w:t>Date:</w:t>
            </w:r>
          </w:p>
        </w:tc>
      </w:tr>
      <w:tr>
        <w:trPr>
          <w:trHeight w:val="27"/>
        </w:trPr>
        <w:tc>
          <w:tcPr>
            <w:tcW w:w="7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439"/>
        </w:trPr>
        <w:tc>
          <w:tcPr>
            <w:tcW w:w="5400" w:type="dxa"/>
            <w:vAlign w:val="bottom"/>
            <w:gridSpan w:val="2"/>
          </w:tcPr>
          <w:p>
            <w:pPr>
              <w:spacing w:after="0"/>
              <w:rPr>
                <w:sz w:val="20"/>
                <w:szCs w:val="20"/>
                <w:color w:val="auto"/>
              </w:rPr>
            </w:pPr>
            <w:r>
              <w:rPr>
                <w:rFonts w:ascii="Arial" w:cs="Arial" w:eastAsia="Arial" w:hAnsi="Arial"/>
                <w:sz w:val="18"/>
                <w:szCs w:val="18"/>
                <w:color w:val="auto"/>
              </w:rPr>
              <w:t>Date:</w:t>
            </w:r>
          </w:p>
        </w:tc>
        <w:tc>
          <w:tcPr>
            <w:tcW w:w="10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7"/>
        </w:trPr>
        <w:tc>
          <w:tcPr>
            <w:tcW w:w="7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4680" w:type="dxa"/>
            <w:vAlign w:val="bottom"/>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ATTACHMENTS: </w:t>
      </w:r>
      <w:r>
        <w:rPr>
          <w:rFonts w:ascii="Arial" w:cs="Arial" w:eastAsia="Arial" w:hAnsi="Arial"/>
          <w:sz w:val="18"/>
          <w:szCs w:val="18"/>
          <w:color w:val="auto"/>
        </w:rPr>
        <w:t>Stock Option Agreement, 2021 Equity Incentive Plan, Notice of Exercise</w:t>
      </w:r>
    </w:p>
    <w:p>
      <w:pPr>
        <w:sectPr>
          <w:pgSz w:w="11900" w:h="16838" w:orient="portrait"/>
          <w:cols w:equalWidth="0" w:num="1">
            <w:col w:w="11240"/>
          </w:cols>
          <w:pgMar w:left="320" w:top="1421" w:right="339" w:bottom="1440" w:gutter="0" w:footer="0" w:header="0"/>
        </w:sectPr>
      </w:pPr>
    </w:p>
    <w:bookmarkStart w:id="301" w:name="page302"/>
    <w:bookmarkEnd w:id="301"/>
    <w:p>
      <w:pPr>
        <w:ind w:left="4640"/>
        <w:spacing w:after="0"/>
        <w:rPr>
          <w:sz w:val="20"/>
          <w:szCs w:val="20"/>
          <w:color w:val="auto"/>
        </w:rPr>
      </w:pPr>
      <w:r>
        <w:rPr>
          <w:rFonts w:ascii="Arial" w:cs="Arial" w:eastAsia="Arial" w:hAnsi="Arial"/>
          <w:sz w:val="25"/>
          <w:szCs w:val="25"/>
          <w:b w:val="1"/>
          <w:bCs w:val="1"/>
          <w:color w:val="auto"/>
        </w:rPr>
        <w:t>ATTACHMENT I</w:t>
      </w:r>
    </w:p>
    <w:p>
      <w:pPr>
        <w:spacing w:after="0" w:line="226" w:lineRule="exact"/>
        <w:rPr>
          <w:sz w:val="20"/>
          <w:szCs w:val="20"/>
          <w:color w:val="auto"/>
        </w:rPr>
      </w:pPr>
    </w:p>
    <w:p>
      <w:pPr>
        <w:ind w:left="3800"/>
        <w:spacing w:after="0"/>
        <w:rPr>
          <w:sz w:val="20"/>
          <w:szCs w:val="20"/>
          <w:color w:val="auto"/>
        </w:rPr>
      </w:pPr>
      <w:r>
        <w:rPr>
          <w:rFonts w:ascii="Arial" w:cs="Arial" w:eastAsia="Arial" w:hAnsi="Arial"/>
          <w:sz w:val="25"/>
          <w:szCs w:val="25"/>
          <w:b w:val="1"/>
          <w:bCs w:val="1"/>
          <w:color w:val="auto"/>
        </w:rPr>
        <w:t>STOCK OPTION AGREEMENT</w:t>
      </w:r>
    </w:p>
    <w:p>
      <w:pPr>
        <w:spacing w:after="0" w:line="226" w:lineRule="exact"/>
        <w:rPr>
          <w:sz w:val="20"/>
          <w:szCs w:val="20"/>
          <w:color w:val="auto"/>
        </w:rPr>
      </w:pPr>
    </w:p>
    <w:p>
      <w:pPr>
        <w:ind w:left="4420"/>
        <w:spacing w:after="0"/>
        <w:rPr>
          <w:sz w:val="20"/>
          <w:szCs w:val="20"/>
          <w:color w:val="auto"/>
        </w:rPr>
      </w:pPr>
      <w:r>
        <w:rPr>
          <w:rFonts w:ascii="Arial" w:cs="Arial" w:eastAsia="Arial" w:hAnsi="Arial"/>
          <w:sz w:val="25"/>
          <w:szCs w:val="25"/>
          <w:b w:val="1"/>
          <w:bCs w:val="1"/>
          <w:color w:val="auto"/>
        </w:rPr>
        <w:t>NERDWALLET, INC.</w:t>
      </w:r>
    </w:p>
    <w:p>
      <w:pPr>
        <w:spacing w:after="0" w:line="38" w:lineRule="exact"/>
        <w:rPr>
          <w:sz w:val="20"/>
          <w:szCs w:val="20"/>
          <w:color w:val="auto"/>
        </w:rPr>
      </w:pPr>
    </w:p>
    <w:p>
      <w:pPr>
        <w:ind w:left="3720"/>
        <w:spacing w:after="0"/>
        <w:rPr>
          <w:sz w:val="20"/>
          <w:szCs w:val="20"/>
          <w:color w:val="auto"/>
        </w:rPr>
      </w:pPr>
      <w:r>
        <w:rPr>
          <w:rFonts w:ascii="Arial" w:cs="Arial" w:eastAsia="Arial" w:hAnsi="Arial"/>
          <w:sz w:val="25"/>
          <w:szCs w:val="25"/>
          <w:b w:val="1"/>
          <w:bCs w:val="1"/>
          <w:color w:val="auto"/>
        </w:rPr>
        <w:t>2021 EQUITY INCENTIVE PLAN</w:t>
      </w:r>
    </w:p>
    <w:p>
      <w:pPr>
        <w:spacing w:after="0" w:line="198" w:lineRule="exact"/>
        <w:rPr>
          <w:sz w:val="20"/>
          <w:szCs w:val="20"/>
          <w:color w:val="auto"/>
        </w:rPr>
      </w:pPr>
    </w:p>
    <w:p>
      <w:pPr>
        <w:ind w:left="3800"/>
        <w:spacing w:after="0"/>
        <w:rPr>
          <w:sz w:val="20"/>
          <w:szCs w:val="20"/>
          <w:color w:val="auto"/>
        </w:rPr>
      </w:pPr>
      <w:r>
        <w:rPr>
          <w:rFonts w:ascii="Arial" w:cs="Arial" w:eastAsia="Arial" w:hAnsi="Arial"/>
          <w:sz w:val="25"/>
          <w:szCs w:val="25"/>
          <w:b w:val="1"/>
          <w:bCs w:val="1"/>
          <w:color w:val="auto"/>
        </w:rPr>
        <w:t>STOCK OPTION AGREEMENT</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As reflected by your Stock Option Grant Notice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NerdWallet,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you an option under its 2021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to purchase a number of shares of Common Stock at the exercise price indicated in your Grant Notice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general terms and conditions applicable to your Option are as follows:</w:t>
      </w:r>
    </w:p>
    <w:p>
      <w:pPr>
        <w:spacing w:after="0" w:line="214" w:lineRule="exact"/>
        <w:rPr>
          <w:sz w:val="20"/>
          <w:szCs w:val="20"/>
          <w:color w:val="auto"/>
        </w:rPr>
      </w:pPr>
    </w:p>
    <w:p>
      <w:pPr>
        <w:ind w:right="20" w:firstLine="656"/>
        <w:spacing w:after="0" w:line="269" w:lineRule="auto"/>
        <w:tabs>
          <w:tab w:leader="none" w:pos="1116" w:val="left"/>
        </w:tabs>
        <w:numPr>
          <w:ilvl w:val="0"/>
          <w:numId w:val="260"/>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PLAN DOCUMENT</w:t>
      </w:r>
      <w:r>
        <w:rPr>
          <w:rFonts w:ascii="Arial" w:cs="Arial" w:eastAsia="Arial" w:hAnsi="Arial"/>
          <w:sz w:val="22"/>
          <w:szCs w:val="22"/>
          <w:color w:val="auto"/>
        </w:rPr>
        <w:t>. Your Option is subject to all the provisions of the Plan, including but not</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to the provisions in:</w:t>
      </w:r>
    </w:p>
    <w:p>
      <w:pPr>
        <w:spacing w:after="0" w:line="167" w:lineRule="exact"/>
        <w:rPr>
          <w:rFonts w:ascii="Arial" w:cs="Arial" w:eastAsia="Arial" w:hAnsi="Arial"/>
          <w:sz w:val="22"/>
          <w:szCs w:val="22"/>
          <w:b w:val="1"/>
          <w:bCs w:val="1"/>
          <w:color w:val="auto"/>
        </w:rPr>
      </w:pPr>
    </w:p>
    <w:p>
      <w:pPr>
        <w:ind w:firstLine="1304"/>
        <w:spacing w:after="0" w:line="263" w:lineRule="auto"/>
        <w:tabs>
          <w:tab w:leader="none" w:pos="1953" w:val="left"/>
        </w:tabs>
        <w:numPr>
          <w:ilvl w:val="1"/>
          <w:numId w:val="260"/>
        </w:numPr>
        <w:rPr>
          <w:rFonts w:ascii="Arial" w:cs="Arial" w:eastAsia="Arial" w:hAnsi="Arial"/>
          <w:sz w:val="22"/>
          <w:szCs w:val="22"/>
          <w:b w:val="1"/>
          <w:bCs w:val="1"/>
          <w:color w:val="auto"/>
        </w:rPr>
      </w:pPr>
      <w:r>
        <w:rPr>
          <w:rFonts w:ascii="Arial" w:cs="Arial" w:eastAsia="Arial" w:hAnsi="Arial"/>
          <w:sz w:val="22"/>
          <w:szCs w:val="22"/>
          <w:color w:val="auto"/>
        </w:rPr>
        <w:t>Section 6 regarding the impact of a Capitalization Adjustment, dissolution, liquidation, or Corporate Transaction on your Option;</w:t>
      </w:r>
    </w:p>
    <w:p>
      <w:pPr>
        <w:spacing w:after="0" w:line="174" w:lineRule="exact"/>
        <w:rPr>
          <w:rFonts w:ascii="Arial" w:cs="Arial" w:eastAsia="Arial" w:hAnsi="Arial"/>
          <w:sz w:val="22"/>
          <w:szCs w:val="22"/>
          <w:b w:val="1"/>
          <w:bCs w:val="1"/>
          <w:color w:val="auto"/>
        </w:rPr>
      </w:pPr>
    </w:p>
    <w:p>
      <w:pPr>
        <w:ind w:right="20" w:firstLine="1304"/>
        <w:spacing w:after="0" w:line="263" w:lineRule="auto"/>
        <w:tabs>
          <w:tab w:leader="none" w:pos="1803" w:val="left"/>
        </w:tabs>
        <w:numPr>
          <w:ilvl w:val="1"/>
          <w:numId w:val="260"/>
        </w:numPr>
        <w:rPr>
          <w:rFonts w:ascii="Arial" w:cs="Arial" w:eastAsia="Arial" w:hAnsi="Arial"/>
          <w:sz w:val="22"/>
          <w:szCs w:val="22"/>
          <w:b w:val="1"/>
          <w:bCs w:val="1"/>
          <w:color w:val="auto"/>
        </w:rPr>
      </w:pPr>
      <w:r>
        <w:rPr>
          <w:rFonts w:ascii="Arial" w:cs="Arial" w:eastAsia="Arial" w:hAnsi="Arial"/>
          <w:sz w:val="22"/>
          <w:szCs w:val="22"/>
          <w:color w:val="auto"/>
        </w:rPr>
        <w:t>Section 9(e) regarding the Company’s retained rights to terminate your Continuous Service notwithstanding the grant of the Option; and</w:t>
      </w:r>
    </w:p>
    <w:p>
      <w:pPr>
        <w:spacing w:after="0" w:line="174" w:lineRule="exact"/>
        <w:rPr>
          <w:rFonts w:ascii="Arial" w:cs="Arial" w:eastAsia="Arial" w:hAnsi="Arial"/>
          <w:sz w:val="22"/>
          <w:szCs w:val="22"/>
          <w:b w:val="1"/>
          <w:bCs w:val="1"/>
          <w:color w:val="auto"/>
        </w:rPr>
      </w:pPr>
    </w:p>
    <w:p>
      <w:pPr>
        <w:ind w:left="1760" w:hanging="456"/>
        <w:spacing w:after="0"/>
        <w:tabs>
          <w:tab w:leader="none" w:pos="1760" w:val="left"/>
        </w:tabs>
        <w:numPr>
          <w:ilvl w:val="1"/>
          <w:numId w:val="260"/>
        </w:numPr>
        <w:rPr>
          <w:rFonts w:ascii="Arial" w:cs="Arial" w:eastAsia="Arial" w:hAnsi="Arial"/>
          <w:sz w:val="22"/>
          <w:szCs w:val="22"/>
          <w:b w:val="1"/>
          <w:bCs w:val="1"/>
          <w:color w:val="auto"/>
        </w:rPr>
      </w:pPr>
      <w:r>
        <w:rPr>
          <w:rFonts w:ascii="Arial" w:cs="Arial" w:eastAsia="Arial" w:hAnsi="Arial"/>
          <w:sz w:val="22"/>
          <w:szCs w:val="22"/>
          <w:color w:val="auto"/>
        </w:rPr>
        <w:t>Section 8(c) regarding the tax consequences of your Option.</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79" w:lineRule="exact"/>
        <w:rPr>
          <w:sz w:val="20"/>
          <w:szCs w:val="20"/>
          <w:color w:val="auto"/>
        </w:rPr>
      </w:pPr>
    </w:p>
    <w:p>
      <w:pPr>
        <w:ind w:left="1040" w:hanging="384"/>
        <w:spacing w:after="0"/>
        <w:tabs>
          <w:tab w:leader="none" w:pos="1040" w:val="left"/>
        </w:tabs>
        <w:numPr>
          <w:ilvl w:val="0"/>
          <w:numId w:val="261"/>
        </w:numPr>
        <w:rPr>
          <w:rFonts w:ascii="Arial" w:cs="Arial" w:eastAsia="Arial" w:hAnsi="Arial"/>
          <w:sz w:val="22"/>
          <w:szCs w:val="22"/>
          <w:b w:val="1"/>
          <w:bCs w:val="1"/>
          <w:color w:val="auto"/>
        </w:rPr>
      </w:pPr>
      <w:r>
        <w:rPr>
          <w:rFonts w:ascii="Arial" w:cs="Arial" w:eastAsia="Arial" w:hAnsi="Arial"/>
          <w:sz w:val="22"/>
          <w:szCs w:val="22"/>
          <w:b w:val="1"/>
          <w:bCs w:val="1"/>
          <w:color w:val="auto"/>
        </w:rPr>
        <w:t>EXERCISE</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48" w:lineRule="auto"/>
        <w:tabs>
          <w:tab w:leader="none" w:pos="1764" w:val="left"/>
        </w:tabs>
        <w:numPr>
          <w:ilvl w:val="1"/>
          <w:numId w:val="261"/>
        </w:numPr>
        <w:rPr>
          <w:rFonts w:ascii="Arial" w:cs="Arial" w:eastAsia="Arial" w:hAnsi="Arial"/>
          <w:sz w:val="22"/>
          <w:szCs w:val="22"/>
          <w:b w:val="1"/>
          <w:bCs w:val="1"/>
          <w:color w:val="auto"/>
        </w:rPr>
      </w:pPr>
      <w:r>
        <w:rPr>
          <w:rFonts w:ascii="Arial" w:cs="Arial" w:eastAsia="Arial" w:hAnsi="Arial"/>
          <w:sz w:val="22"/>
          <w:szCs w:val="22"/>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ectPr>
          <w:pgSz w:w="11900" w:h="16838" w:orient="portrait"/>
          <w:cols w:equalWidth="0" w:num="1">
            <w:col w:w="11240"/>
          </w:cols>
          <w:pgMar w:left="320" w:top="1413" w:right="339" w:bottom="1440" w:gutter="0" w:footer="0" w:header="0"/>
        </w:sectPr>
      </w:pPr>
    </w:p>
    <w:bookmarkStart w:id="302" w:name="page303"/>
    <w:bookmarkEnd w:id="302"/>
    <w:p>
      <w:pPr>
        <w:ind w:left="1780" w:hanging="476"/>
        <w:spacing w:after="0"/>
        <w:tabs>
          <w:tab w:leader="none" w:pos="1780" w:val="left"/>
        </w:tabs>
        <w:numPr>
          <w:ilvl w:val="1"/>
          <w:numId w:val="262"/>
        </w:numPr>
        <w:rPr>
          <w:rFonts w:ascii="Arial" w:cs="Arial" w:eastAsia="Arial" w:hAnsi="Arial"/>
          <w:sz w:val="22"/>
          <w:szCs w:val="22"/>
          <w:b w:val="1"/>
          <w:bCs w:val="1"/>
          <w:color w:val="auto"/>
        </w:rPr>
      </w:pPr>
      <w:r>
        <w:rPr>
          <w:rFonts w:ascii="Arial" w:cs="Arial" w:eastAsia="Arial" w:hAnsi="Arial"/>
          <w:sz w:val="22"/>
          <w:szCs w:val="22"/>
          <w:color w:val="auto"/>
        </w:rPr>
        <w:t>To the extent permitted by Applicable Law, you may pay your Option exercise price as follows:</w:t>
      </w:r>
    </w:p>
    <w:p>
      <w:pPr>
        <w:spacing w:after="0" w:line="219" w:lineRule="exact"/>
        <w:rPr>
          <w:rFonts w:ascii="Arial" w:cs="Arial" w:eastAsia="Arial" w:hAnsi="Arial"/>
          <w:sz w:val="22"/>
          <w:szCs w:val="22"/>
          <w:b w:val="1"/>
          <w:bCs w:val="1"/>
          <w:color w:val="auto"/>
        </w:rPr>
      </w:pPr>
    </w:p>
    <w:p>
      <w:pPr>
        <w:ind w:left="2380" w:hanging="428"/>
        <w:spacing w:after="0"/>
        <w:tabs>
          <w:tab w:leader="none" w:pos="2380" w:val="left"/>
        </w:tabs>
        <w:numPr>
          <w:ilvl w:val="2"/>
          <w:numId w:val="262"/>
        </w:numPr>
        <w:rPr>
          <w:rFonts w:ascii="Arial" w:cs="Arial" w:eastAsia="Arial" w:hAnsi="Arial"/>
          <w:sz w:val="22"/>
          <w:szCs w:val="22"/>
          <w:b w:val="1"/>
          <w:bCs w:val="1"/>
          <w:color w:val="auto"/>
        </w:rPr>
      </w:pPr>
      <w:r>
        <w:rPr>
          <w:rFonts w:ascii="Arial" w:cs="Arial" w:eastAsia="Arial" w:hAnsi="Arial"/>
          <w:sz w:val="22"/>
          <w:szCs w:val="22"/>
          <w:color w:val="auto"/>
        </w:rPr>
        <w:t>cash, check, bank draft or money order;</w:t>
      </w:r>
    </w:p>
    <w:p>
      <w:pPr>
        <w:spacing w:after="0" w:line="219" w:lineRule="exact"/>
        <w:rPr>
          <w:rFonts w:ascii="Arial" w:cs="Arial" w:eastAsia="Arial" w:hAnsi="Arial"/>
          <w:sz w:val="22"/>
          <w:szCs w:val="22"/>
          <w:b w:val="1"/>
          <w:bCs w:val="1"/>
          <w:color w:val="auto"/>
        </w:rPr>
      </w:pPr>
    </w:p>
    <w:p>
      <w:pPr>
        <w:jc w:val="both"/>
        <w:ind w:firstLine="1952"/>
        <w:spacing w:after="0" w:line="253" w:lineRule="auto"/>
        <w:tabs>
          <w:tab w:leader="none" w:pos="2572" w:val="left"/>
        </w:tabs>
        <w:numPr>
          <w:ilvl w:val="2"/>
          <w:numId w:val="262"/>
        </w:numPr>
        <w:rPr>
          <w:rFonts w:ascii="Arial" w:cs="Arial" w:eastAsia="Arial" w:hAnsi="Arial"/>
          <w:sz w:val="22"/>
          <w:szCs w:val="22"/>
          <w:b w:val="1"/>
          <w:bCs w:val="1"/>
          <w:color w:val="auto"/>
        </w:rPr>
      </w:pPr>
      <w:r>
        <w:rPr>
          <w:rFonts w:ascii="Arial" w:cs="Arial" w:eastAsia="Arial" w:hAnsi="Arial"/>
          <w:sz w:val="22"/>
          <w:szCs w:val="22"/>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185" w:lineRule="exact"/>
        <w:rPr>
          <w:rFonts w:ascii="Arial" w:cs="Arial" w:eastAsia="Arial" w:hAnsi="Arial"/>
          <w:sz w:val="22"/>
          <w:szCs w:val="22"/>
          <w:b w:val="1"/>
          <w:bCs w:val="1"/>
          <w:color w:val="auto"/>
        </w:rPr>
      </w:pPr>
    </w:p>
    <w:p>
      <w:pPr>
        <w:ind w:firstLine="1952"/>
        <w:spacing w:after="0" w:line="263" w:lineRule="auto"/>
        <w:tabs>
          <w:tab w:leader="none" w:pos="2578" w:val="left"/>
        </w:tabs>
        <w:numPr>
          <w:ilvl w:val="2"/>
          <w:numId w:val="262"/>
        </w:numPr>
        <w:rPr>
          <w:rFonts w:ascii="Arial" w:cs="Arial" w:eastAsia="Arial" w:hAnsi="Arial"/>
          <w:sz w:val="22"/>
          <w:szCs w:val="22"/>
          <w:b w:val="1"/>
          <w:bCs w:val="1"/>
          <w:color w:val="auto"/>
        </w:rPr>
      </w:pPr>
      <w:r>
        <w:rPr>
          <w:rFonts w:ascii="Arial" w:cs="Arial" w:eastAsia="Arial" w:hAnsi="Arial"/>
          <w:sz w:val="22"/>
          <w:szCs w:val="22"/>
          <w:color w:val="auto"/>
        </w:rPr>
        <w:t>subject to Company and/or Committee consent at the time of exercise, by delivery of previously owned shares of Common Stock as further described in Section 4(c)(iii) of the Plan; or</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715" w:val="left"/>
        </w:tabs>
        <w:numPr>
          <w:ilvl w:val="2"/>
          <w:numId w:val="262"/>
        </w:numPr>
        <w:rPr>
          <w:rFonts w:ascii="Arial" w:cs="Arial" w:eastAsia="Arial" w:hAnsi="Arial"/>
          <w:sz w:val="22"/>
          <w:szCs w:val="22"/>
          <w:b w:val="1"/>
          <w:bCs w:val="1"/>
          <w:color w:val="auto"/>
        </w:rPr>
      </w:pPr>
      <w:r>
        <w:rPr>
          <w:rFonts w:ascii="Arial" w:cs="Arial" w:eastAsia="Arial" w:hAnsi="Arial"/>
          <w:sz w:val="22"/>
          <w:szCs w:val="22"/>
          <w:color w:val="auto"/>
        </w:rPr>
        <w:t>subject to Company and/or Committee consent at the time of exercise, if the Option is a Nonstatutory Stock Option, by a “net exercise” arrangement as further described in Section 4(c)(iv) of the Plan.</w:t>
      </w:r>
    </w:p>
    <w:p>
      <w:pPr>
        <w:spacing w:after="0" w:line="174" w:lineRule="exact"/>
        <w:rPr>
          <w:rFonts w:ascii="Arial" w:cs="Arial" w:eastAsia="Arial" w:hAnsi="Arial"/>
          <w:sz w:val="22"/>
          <w:szCs w:val="22"/>
          <w:b w:val="1"/>
          <w:bCs w:val="1"/>
          <w:color w:val="auto"/>
        </w:rPr>
      </w:pPr>
    </w:p>
    <w:p>
      <w:pPr>
        <w:jc w:val="both"/>
        <w:ind w:firstLine="1304"/>
        <w:spacing w:after="0" w:line="286" w:lineRule="auto"/>
        <w:tabs>
          <w:tab w:leader="none" w:pos="1765" w:val="left"/>
        </w:tabs>
        <w:numPr>
          <w:ilvl w:val="1"/>
          <w:numId w:val="262"/>
        </w:numPr>
        <w:rPr>
          <w:rFonts w:ascii="Arial" w:cs="Arial" w:eastAsia="Arial" w:hAnsi="Arial"/>
          <w:sz w:val="19"/>
          <w:szCs w:val="19"/>
          <w:b w:val="1"/>
          <w:bCs w:val="1"/>
          <w:color w:val="auto"/>
        </w:rPr>
      </w:pPr>
      <w:r>
        <w:rPr>
          <w:rFonts w:ascii="Arial" w:cs="Arial" w:eastAsia="Arial" w:hAnsi="Arial"/>
          <w:sz w:val="19"/>
          <w:szCs w:val="19"/>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9"/>
          <w:szCs w:val="19"/>
          <w:b w:val="1"/>
          <w:bCs w:val="1"/>
          <w:i w:val="1"/>
          <w:iCs w:val="1"/>
          <w:color w:val="auto"/>
        </w:rPr>
        <w:t>Lock-Up Period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w:t>
      </w:r>
    </w:p>
    <w:p>
      <w:pPr>
        <w:spacing w:after="0" w:line="159" w:lineRule="exact"/>
        <w:rPr>
          <w:rFonts w:ascii="Arial" w:cs="Arial" w:eastAsia="Arial" w:hAnsi="Arial"/>
          <w:sz w:val="19"/>
          <w:szCs w:val="19"/>
          <w:b w:val="1"/>
          <w:bCs w:val="1"/>
          <w:color w:val="auto"/>
        </w:rPr>
      </w:pPr>
    </w:p>
    <w:p>
      <w:pPr>
        <w:ind w:firstLine="656"/>
        <w:spacing w:after="0" w:line="269" w:lineRule="auto"/>
        <w:tabs>
          <w:tab w:leader="none" w:pos="1063" w:val="left"/>
        </w:tabs>
        <w:numPr>
          <w:ilvl w:val="0"/>
          <w:numId w:val="263"/>
        </w:numPr>
        <w:rPr>
          <w:rFonts w:ascii="Arial" w:cs="Arial" w:eastAsia="Arial" w:hAnsi="Arial"/>
          <w:sz w:val="22"/>
          <w:szCs w:val="22"/>
          <w:b w:val="1"/>
          <w:bCs w:val="1"/>
          <w:color w:val="auto"/>
        </w:rPr>
      </w:pPr>
      <w:r>
        <w:rPr>
          <w:rFonts w:ascii="Arial" w:cs="Arial" w:eastAsia="Arial" w:hAnsi="Arial"/>
          <w:sz w:val="22"/>
          <w:szCs w:val="22"/>
          <w:b w:val="1"/>
          <w:bCs w:val="1"/>
          <w:color w:val="auto"/>
        </w:rPr>
        <w:t>TERM</w:t>
      </w:r>
      <w:r>
        <w:rPr>
          <w:rFonts w:ascii="Arial" w:cs="Arial" w:eastAsia="Arial" w:hAnsi="Arial"/>
          <w:sz w:val="22"/>
          <w:szCs w:val="22"/>
          <w:color w:val="auto"/>
        </w:rPr>
        <w:t>. You may not exercise your Option before the commencement of its term or after its term expires. The term</w:t>
      </w:r>
      <w:r>
        <w:rPr>
          <w:rFonts w:ascii="Arial" w:cs="Arial" w:eastAsia="Arial" w:hAnsi="Arial"/>
          <w:sz w:val="22"/>
          <w:szCs w:val="22"/>
          <w:b w:val="1"/>
          <w:bCs w:val="1"/>
          <w:color w:val="auto"/>
        </w:rPr>
        <w:t xml:space="preserve"> </w:t>
      </w:r>
      <w:r>
        <w:rPr>
          <w:rFonts w:ascii="Arial" w:cs="Arial" w:eastAsia="Arial" w:hAnsi="Arial"/>
          <w:sz w:val="22"/>
          <w:szCs w:val="22"/>
          <w:color w:val="auto"/>
        </w:rPr>
        <w:t>of your Option commences on the Date of Grant and expires upon the earliest of the following:</w:t>
      </w:r>
    </w:p>
    <w:p>
      <w:pPr>
        <w:spacing w:after="0" w:line="167" w:lineRule="exact"/>
        <w:rPr>
          <w:rFonts w:ascii="Arial" w:cs="Arial" w:eastAsia="Arial" w:hAnsi="Arial"/>
          <w:sz w:val="22"/>
          <w:szCs w:val="22"/>
          <w:b w:val="1"/>
          <w:bCs w:val="1"/>
          <w:color w:val="auto"/>
        </w:rPr>
      </w:pPr>
    </w:p>
    <w:p>
      <w:pPr>
        <w:ind w:left="1780" w:hanging="476"/>
        <w:spacing w:after="0"/>
        <w:tabs>
          <w:tab w:leader="none" w:pos="1780" w:val="left"/>
        </w:tabs>
        <w:numPr>
          <w:ilvl w:val="1"/>
          <w:numId w:val="263"/>
        </w:numPr>
        <w:rPr>
          <w:rFonts w:ascii="Arial" w:cs="Arial" w:eastAsia="Arial" w:hAnsi="Arial"/>
          <w:sz w:val="22"/>
          <w:szCs w:val="22"/>
          <w:b w:val="1"/>
          <w:bCs w:val="1"/>
          <w:color w:val="auto"/>
        </w:rPr>
      </w:pPr>
      <w:r>
        <w:rPr>
          <w:rFonts w:ascii="Arial" w:cs="Arial" w:eastAsia="Arial" w:hAnsi="Arial"/>
          <w:sz w:val="22"/>
          <w:szCs w:val="22"/>
          <w:color w:val="auto"/>
        </w:rPr>
        <w:t>immediately upon the termination of your Continuous Service for Cause;</w:t>
      </w:r>
    </w:p>
    <w:p>
      <w:pPr>
        <w:spacing w:after="0" w:line="219" w:lineRule="exact"/>
        <w:rPr>
          <w:rFonts w:ascii="Arial" w:cs="Arial" w:eastAsia="Arial" w:hAnsi="Arial"/>
          <w:sz w:val="22"/>
          <w:szCs w:val="22"/>
          <w:b w:val="1"/>
          <w:bCs w:val="1"/>
          <w:color w:val="auto"/>
        </w:rPr>
      </w:pPr>
    </w:p>
    <w:p>
      <w:pPr>
        <w:ind w:left="1800" w:hanging="496"/>
        <w:spacing w:after="0"/>
        <w:tabs>
          <w:tab w:leader="none" w:pos="1800" w:val="left"/>
        </w:tabs>
        <w:numPr>
          <w:ilvl w:val="1"/>
          <w:numId w:val="263"/>
        </w:numPr>
        <w:rPr>
          <w:rFonts w:ascii="Arial" w:cs="Arial" w:eastAsia="Arial" w:hAnsi="Arial"/>
          <w:sz w:val="19"/>
          <w:szCs w:val="19"/>
          <w:b w:val="1"/>
          <w:bCs w:val="1"/>
          <w:color w:val="auto"/>
        </w:rPr>
      </w:pPr>
      <w:r>
        <w:rPr>
          <w:rFonts w:ascii="Arial" w:cs="Arial" w:eastAsia="Arial" w:hAnsi="Arial"/>
          <w:sz w:val="19"/>
          <w:szCs w:val="19"/>
          <w:color w:val="auto"/>
        </w:rPr>
        <w:t>three months after the termination of your Continuous Service for any reason other than Cause, Disability or</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death;</w:t>
      </w:r>
    </w:p>
    <w:p>
      <w:pPr>
        <w:spacing w:after="0" w:line="201" w:lineRule="exact"/>
        <w:rPr>
          <w:rFonts w:ascii="Arial" w:cs="Arial" w:eastAsia="Arial" w:hAnsi="Arial"/>
          <w:sz w:val="19"/>
          <w:szCs w:val="19"/>
          <w:b w:val="1"/>
          <w:bCs w:val="1"/>
          <w:color w:val="auto"/>
        </w:rPr>
      </w:pPr>
    </w:p>
    <w:p>
      <w:pPr>
        <w:ind w:left="1760" w:hanging="456"/>
        <w:spacing w:after="0"/>
        <w:tabs>
          <w:tab w:leader="none" w:pos="1760" w:val="left"/>
        </w:tabs>
        <w:numPr>
          <w:ilvl w:val="1"/>
          <w:numId w:val="263"/>
        </w:numPr>
        <w:rPr>
          <w:rFonts w:ascii="Arial" w:cs="Arial" w:eastAsia="Arial" w:hAnsi="Arial"/>
          <w:sz w:val="22"/>
          <w:szCs w:val="22"/>
          <w:b w:val="1"/>
          <w:bCs w:val="1"/>
          <w:color w:val="auto"/>
        </w:rPr>
      </w:pPr>
      <w:r>
        <w:rPr>
          <w:rFonts w:ascii="Arial" w:cs="Arial" w:eastAsia="Arial" w:hAnsi="Arial"/>
          <w:sz w:val="22"/>
          <w:szCs w:val="22"/>
          <w:color w:val="auto"/>
        </w:rPr>
        <w:t>12 months after the termination of your Continuous Service due to your Disability;</w:t>
      </w:r>
    </w:p>
    <w:p>
      <w:pPr>
        <w:sectPr>
          <w:pgSz w:w="11900" w:h="16838" w:orient="portrait"/>
          <w:cols w:equalWidth="0" w:num="1">
            <w:col w:w="11240"/>
          </w:cols>
          <w:pgMar w:left="320" w:top="1428" w:right="339" w:bottom="1440" w:gutter="0" w:footer="0" w:header="0"/>
        </w:sectPr>
      </w:pPr>
    </w:p>
    <w:bookmarkStart w:id="303" w:name="page304"/>
    <w:bookmarkEnd w:id="303"/>
    <w:p>
      <w:pPr>
        <w:ind w:left="1780" w:hanging="476"/>
        <w:spacing w:after="0"/>
        <w:tabs>
          <w:tab w:leader="none" w:pos="1780" w:val="left"/>
        </w:tabs>
        <w:numPr>
          <w:ilvl w:val="0"/>
          <w:numId w:val="264"/>
        </w:numPr>
        <w:rPr>
          <w:rFonts w:ascii="Arial" w:cs="Arial" w:eastAsia="Arial" w:hAnsi="Arial"/>
          <w:sz w:val="22"/>
          <w:szCs w:val="22"/>
          <w:b w:val="1"/>
          <w:bCs w:val="1"/>
          <w:color w:val="auto"/>
        </w:rPr>
      </w:pPr>
      <w:r>
        <w:rPr>
          <w:rFonts w:ascii="Arial" w:cs="Arial" w:eastAsia="Arial" w:hAnsi="Arial"/>
          <w:sz w:val="22"/>
          <w:szCs w:val="22"/>
          <w:color w:val="auto"/>
        </w:rPr>
        <w:t>18 months after your death if you die during your Continuous Service;</w:t>
      </w:r>
    </w:p>
    <w:p>
      <w:pPr>
        <w:spacing w:after="0" w:line="219" w:lineRule="exact"/>
        <w:rPr>
          <w:rFonts w:ascii="Arial" w:cs="Arial" w:eastAsia="Arial" w:hAnsi="Arial"/>
          <w:sz w:val="22"/>
          <w:szCs w:val="22"/>
          <w:b w:val="1"/>
          <w:bCs w:val="1"/>
          <w:color w:val="auto"/>
        </w:rPr>
      </w:pPr>
    </w:p>
    <w:p>
      <w:pPr>
        <w:ind w:right="20" w:firstLine="1304"/>
        <w:spacing w:after="0" w:line="263" w:lineRule="auto"/>
        <w:tabs>
          <w:tab w:leader="none" w:pos="1846" w:val="left"/>
        </w:tabs>
        <w:numPr>
          <w:ilvl w:val="0"/>
          <w:numId w:val="264"/>
        </w:numPr>
        <w:rPr>
          <w:rFonts w:ascii="Arial" w:cs="Arial" w:eastAsia="Arial" w:hAnsi="Arial"/>
          <w:sz w:val="22"/>
          <w:szCs w:val="22"/>
          <w:b w:val="1"/>
          <w:bCs w:val="1"/>
          <w:color w:val="auto"/>
        </w:rPr>
      </w:pPr>
      <w:r>
        <w:rPr>
          <w:rFonts w:ascii="Arial" w:cs="Arial" w:eastAsia="Arial" w:hAnsi="Arial"/>
          <w:sz w:val="22"/>
          <w:szCs w:val="22"/>
          <w:color w:val="auto"/>
        </w:rPr>
        <w:t>immediately upon a Corporate Transaction if the Board has determined that the Option will terminate in connection with a Corporate Transaction;</w:t>
      </w:r>
    </w:p>
    <w:p>
      <w:pPr>
        <w:spacing w:after="0" w:line="174" w:lineRule="exact"/>
        <w:rPr>
          <w:rFonts w:ascii="Arial" w:cs="Arial" w:eastAsia="Arial" w:hAnsi="Arial"/>
          <w:sz w:val="22"/>
          <w:szCs w:val="22"/>
          <w:b w:val="1"/>
          <w:bCs w:val="1"/>
          <w:color w:val="auto"/>
        </w:rPr>
      </w:pPr>
    </w:p>
    <w:p>
      <w:pPr>
        <w:ind w:left="1740" w:hanging="436"/>
        <w:spacing w:after="0"/>
        <w:tabs>
          <w:tab w:leader="none" w:pos="1740" w:val="left"/>
        </w:tabs>
        <w:numPr>
          <w:ilvl w:val="0"/>
          <w:numId w:val="264"/>
        </w:numPr>
        <w:rPr>
          <w:rFonts w:ascii="Arial" w:cs="Arial" w:eastAsia="Arial" w:hAnsi="Arial"/>
          <w:sz w:val="22"/>
          <w:szCs w:val="22"/>
          <w:b w:val="1"/>
          <w:bCs w:val="1"/>
          <w:color w:val="auto"/>
        </w:rPr>
      </w:pPr>
      <w:r>
        <w:rPr>
          <w:rFonts w:ascii="Arial" w:cs="Arial" w:eastAsia="Arial" w:hAnsi="Arial"/>
          <w:sz w:val="22"/>
          <w:szCs w:val="22"/>
          <w:color w:val="auto"/>
        </w:rPr>
        <w:t>the Expiration Date indicated in your Grant Notice; or</w:t>
      </w:r>
    </w:p>
    <w:p>
      <w:pPr>
        <w:spacing w:after="0" w:line="219" w:lineRule="exact"/>
        <w:rPr>
          <w:rFonts w:ascii="Arial" w:cs="Arial" w:eastAsia="Arial" w:hAnsi="Arial"/>
          <w:sz w:val="22"/>
          <w:szCs w:val="22"/>
          <w:b w:val="1"/>
          <w:bCs w:val="1"/>
          <w:color w:val="auto"/>
        </w:rPr>
      </w:pPr>
    </w:p>
    <w:p>
      <w:pPr>
        <w:ind w:left="1780" w:hanging="476"/>
        <w:spacing w:after="0"/>
        <w:tabs>
          <w:tab w:leader="none" w:pos="1780" w:val="left"/>
        </w:tabs>
        <w:numPr>
          <w:ilvl w:val="0"/>
          <w:numId w:val="264"/>
        </w:numPr>
        <w:rPr>
          <w:rFonts w:ascii="Arial" w:cs="Arial" w:eastAsia="Arial" w:hAnsi="Arial"/>
          <w:sz w:val="22"/>
          <w:szCs w:val="22"/>
          <w:b w:val="1"/>
          <w:bCs w:val="1"/>
          <w:color w:val="auto"/>
        </w:rPr>
      </w:pPr>
      <w:r>
        <w:rPr>
          <w:rFonts w:ascii="Arial" w:cs="Arial" w:eastAsia="Arial" w:hAnsi="Arial"/>
          <w:sz w:val="22"/>
          <w:szCs w:val="22"/>
          <w:color w:val="auto"/>
        </w:rPr>
        <w:t>the day before the 10th anniversary of the Date of Grant.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the foregoing, if you die during the period provided in Section 3(b) or 3(c)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9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187" w:lineRule="exact"/>
        <w:rPr>
          <w:sz w:val="20"/>
          <w:szCs w:val="20"/>
          <w:color w:val="auto"/>
        </w:rPr>
      </w:pPr>
    </w:p>
    <w:p>
      <w:pPr>
        <w:jc w:val="both"/>
        <w:ind w:firstLine="656"/>
        <w:spacing w:after="0" w:line="258" w:lineRule="auto"/>
        <w:tabs>
          <w:tab w:leader="none" w:pos="1130" w:val="left"/>
        </w:tabs>
        <w:numPr>
          <w:ilvl w:val="0"/>
          <w:numId w:val="265"/>
        </w:numPr>
        <w:rPr>
          <w:rFonts w:ascii="Arial" w:cs="Arial" w:eastAsia="Arial" w:hAnsi="Arial"/>
          <w:sz w:val="21"/>
          <w:szCs w:val="21"/>
          <w:b w:val="1"/>
          <w:bCs w:val="1"/>
          <w:color w:val="auto"/>
        </w:rPr>
      </w:pPr>
      <w:r>
        <w:rPr>
          <w:rFonts w:ascii="Arial" w:cs="Arial" w:eastAsia="Arial" w:hAnsi="Arial"/>
          <w:sz w:val="21"/>
          <w:szCs w:val="21"/>
          <w:b w:val="1"/>
          <w:bCs w:val="1"/>
          <w:color w:val="auto"/>
        </w:rPr>
        <w:t>WITHOLDING OBLIGATIONS</w:t>
      </w:r>
      <w:r>
        <w:rPr>
          <w:rFonts w:ascii="Arial" w:cs="Arial" w:eastAsia="Arial" w:hAnsi="Arial"/>
          <w:sz w:val="21"/>
          <w:szCs w:val="21"/>
          <w:color w:val="auto"/>
        </w:rPr>
        <w:t>. As further provided in Section 8 of the Plan: (a) you may not exercise your</w:t>
      </w:r>
      <w:r>
        <w:rPr>
          <w:rFonts w:ascii="Arial" w:cs="Arial" w:eastAsia="Arial" w:hAnsi="Arial"/>
          <w:sz w:val="21"/>
          <w:szCs w:val="21"/>
          <w:b w:val="1"/>
          <w:bCs w:val="1"/>
          <w:color w:val="auto"/>
        </w:rPr>
        <w:t xml:space="preserve"> </w:t>
      </w:r>
      <w:r>
        <w:rPr>
          <w:rFonts w:ascii="Arial" w:cs="Arial" w:eastAsia="Arial" w:hAnsi="Arial"/>
          <w:sz w:val="21"/>
          <w:szCs w:val="21"/>
          <w:color w:val="auto"/>
        </w:rPr>
        <w:t>Option unless 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78" w:lineRule="exact"/>
        <w:rPr>
          <w:rFonts w:ascii="Arial" w:cs="Arial" w:eastAsia="Arial" w:hAnsi="Arial"/>
          <w:sz w:val="21"/>
          <w:szCs w:val="21"/>
          <w:b w:val="1"/>
          <w:bCs w:val="1"/>
          <w:color w:val="auto"/>
        </w:rPr>
      </w:pPr>
    </w:p>
    <w:p>
      <w:pPr>
        <w:jc w:val="both"/>
        <w:ind w:firstLine="656"/>
        <w:spacing w:after="0" w:line="267" w:lineRule="auto"/>
        <w:tabs>
          <w:tab w:leader="none" w:pos="1066" w:val="left"/>
        </w:tabs>
        <w:numPr>
          <w:ilvl w:val="0"/>
          <w:numId w:val="265"/>
        </w:numPr>
        <w:rPr>
          <w:rFonts w:ascii="Arial" w:cs="Arial" w:eastAsia="Arial" w:hAnsi="Arial"/>
          <w:sz w:val="21"/>
          <w:szCs w:val="21"/>
          <w:b w:val="1"/>
          <w:bCs w:val="1"/>
          <w:color w:val="auto"/>
        </w:rPr>
      </w:pPr>
      <w:r>
        <w:rPr>
          <w:rFonts w:ascii="Arial" w:cs="Arial" w:eastAsia="Arial" w:hAnsi="Arial"/>
          <w:sz w:val="21"/>
          <w:szCs w:val="21"/>
          <w:b w:val="1"/>
          <w:bCs w:val="1"/>
          <w:color w:val="auto"/>
        </w:rPr>
        <w:t>INCENTIVE STOCK OPTION DISPOSITION REQUIREMENT</w:t>
      </w:r>
      <w:r>
        <w:rPr>
          <w:rFonts w:ascii="Arial" w:cs="Arial" w:eastAsia="Arial" w:hAnsi="Arial"/>
          <w:sz w:val="21"/>
          <w:szCs w:val="21"/>
          <w:color w:val="auto"/>
        </w:rPr>
        <w:t>. If your Option is an Incentive Stock Option,</w:t>
      </w:r>
      <w:r>
        <w:rPr>
          <w:rFonts w:ascii="Arial" w:cs="Arial" w:eastAsia="Arial" w:hAnsi="Arial"/>
          <w:sz w:val="21"/>
          <w:szCs w:val="21"/>
          <w:b w:val="1"/>
          <w:bCs w:val="1"/>
          <w:color w:val="auto"/>
        </w:rPr>
        <w:t xml:space="preserve"> </w:t>
      </w:r>
      <w:r>
        <w:rPr>
          <w:rFonts w:ascii="Arial" w:cs="Arial" w:eastAsia="Arial" w:hAnsi="Arial"/>
          <w:sz w:val="21"/>
          <w:szCs w:val="21"/>
          <w:color w:val="auto"/>
        </w:rPr>
        <w:t>you must notify the Company in 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 The Company</w:t>
      </w:r>
    </w:p>
    <w:p>
      <w:pPr>
        <w:sectPr>
          <w:pgSz w:w="11900" w:h="16838" w:orient="portrait"/>
          <w:cols w:equalWidth="0" w:num="1">
            <w:col w:w="11240"/>
          </w:cols>
          <w:pgMar w:left="320" w:top="1428" w:right="339" w:bottom="1440" w:gutter="0" w:footer="0" w:header="0"/>
        </w:sectPr>
      </w:pPr>
    </w:p>
    <w:bookmarkStart w:id="304" w:name="page305"/>
    <w:bookmarkEnd w:id="304"/>
    <w:p>
      <w:pPr>
        <w:jc w:val="both"/>
        <w:spacing w:after="0" w:line="253" w:lineRule="auto"/>
        <w:rPr>
          <w:sz w:val="20"/>
          <w:szCs w:val="20"/>
          <w:color w:val="auto"/>
        </w:rPr>
      </w:pPr>
      <w:r>
        <w:rPr>
          <w:rFonts w:ascii="Arial" w:cs="Arial" w:eastAsia="Arial" w:hAnsi="Arial"/>
          <w:sz w:val="22"/>
          <w:szCs w:val="22"/>
          <w:color w:val="auto"/>
        </w:rPr>
        <w:t>may require that such shares of Common Stock be retained with a particular broker or agent for a designated period of time and/or may establish other procedures to permit tracking of qualifying and disqualifying dispositions of such shares of Common Stock</w:t>
      </w:r>
    </w:p>
    <w:p>
      <w:pPr>
        <w:spacing w:after="0" w:line="179" w:lineRule="exact"/>
        <w:rPr>
          <w:sz w:val="20"/>
          <w:szCs w:val="20"/>
          <w:color w:val="auto"/>
        </w:rPr>
      </w:pPr>
    </w:p>
    <w:p>
      <w:pPr>
        <w:ind w:firstLine="656"/>
        <w:spacing w:after="0" w:line="349" w:lineRule="auto"/>
        <w:tabs>
          <w:tab w:leader="none" w:pos="1090" w:val="left"/>
        </w:tabs>
        <w:numPr>
          <w:ilvl w:val="0"/>
          <w:numId w:val="266"/>
        </w:numPr>
        <w:rPr>
          <w:rFonts w:ascii="Arial" w:cs="Arial" w:eastAsia="Arial" w:hAnsi="Arial"/>
          <w:sz w:val="19"/>
          <w:szCs w:val="19"/>
          <w:b w:val="1"/>
          <w:bCs w:val="1"/>
          <w:color w:val="auto"/>
        </w:rPr>
      </w:pPr>
      <w:r>
        <w:rPr>
          <w:rFonts w:ascii="Arial" w:cs="Arial" w:eastAsia="Arial" w:hAnsi="Arial"/>
          <w:sz w:val="19"/>
          <w:szCs w:val="19"/>
          <w:b w:val="1"/>
          <w:bCs w:val="1"/>
          <w:color w:val="auto"/>
        </w:rPr>
        <w:t>TRANSFERABILITY</w:t>
      </w:r>
      <w:r>
        <w:rPr>
          <w:rFonts w:ascii="Arial" w:cs="Arial" w:eastAsia="Arial" w:hAnsi="Arial"/>
          <w:sz w:val="19"/>
          <w:szCs w:val="19"/>
          <w:color w:val="auto"/>
        </w:rPr>
        <w:t>. Except as otherwise provided in Section 4(e) of the Plan, your Option is not transferable,</w:t>
      </w:r>
      <w:r>
        <w:rPr>
          <w:rFonts w:ascii="Arial" w:cs="Arial" w:eastAsia="Arial" w:hAnsi="Arial"/>
          <w:sz w:val="19"/>
          <w:szCs w:val="19"/>
          <w:b w:val="1"/>
          <w:bCs w:val="1"/>
          <w:color w:val="auto"/>
        </w:rPr>
        <w:t xml:space="preserve"> </w:t>
      </w:r>
      <w:r>
        <w:rPr>
          <w:rFonts w:ascii="Arial" w:cs="Arial" w:eastAsia="Arial" w:hAnsi="Arial"/>
          <w:sz w:val="19"/>
          <w:szCs w:val="19"/>
          <w:color w:val="auto"/>
        </w:rPr>
        <w:t>except by will or by the applicable laws of descent and distribution, and is exercisable during your life only by you.</w:t>
      </w:r>
    </w:p>
    <w:p>
      <w:pPr>
        <w:spacing w:after="0" w:line="93" w:lineRule="exact"/>
        <w:rPr>
          <w:rFonts w:ascii="Arial" w:cs="Arial" w:eastAsia="Arial" w:hAnsi="Arial"/>
          <w:sz w:val="19"/>
          <w:szCs w:val="19"/>
          <w:b w:val="1"/>
          <w:bCs w:val="1"/>
          <w:color w:val="auto"/>
        </w:rPr>
      </w:pPr>
    </w:p>
    <w:p>
      <w:pPr>
        <w:jc w:val="both"/>
        <w:ind w:firstLine="656"/>
        <w:spacing w:after="0" w:line="315" w:lineRule="auto"/>
        <w:tabs>
          <w:tab w:leader="none" w:pos="1134" w:val="left"/>
        </w:tabs>
        <w:numPr>
          <w:ilvl w:val="0"/>
          <w:numId w:val="266"/>
        </w:numPr>
        <w:rPr>
          <w:rFonts w:ascii="Arial" w:cs="Arial" w:eastAsia="Arial" w:hAnsi="Arial"/>
          <w:sz w:val="19"/>
          <w:szCs w:val="19"/>
          <w:b w:val="1"/>
          <w:bCs w:val="1"/>
          <w:color w:val="auto"/>
        </w:rPr>
      </w:pPr>
      <w:r>
        <w:rPr>
          <w:rFonts w:ascii="Arial" w:cs="Arial" w:eastAsia="Arial" w:hAnsi="Arial"/>
          <w:sz w:val="19"/>
          <w:szCs w:val="19"/>
          <w:b w:val="1"/>
          <w:bCs w:val="1"/>
          <w:color w:val="auto"/>
        </w:rPr>
        <w:t>CORPORATE TRANSACTION</w:t>
      </w:r>
      <w:r>
        <w:rPr>
          <w:rFonts w:ascii="Arial" w:cs="Arial" w:eastAsia="Arial" w:hAnsi="Arial"/>
          <w:sz w:val="19"/>
          <w:szCs w:val="19"/>
          <w:color w:val="auto"/>
        </w:rPr>
        <w:t>. Your Option is subject to the terms of any agreement governing a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25" w:lineRule="exact"/>
        <w:rPr>
          <w:rFonts w:ascii="Arial" w:cs="Arial" w:eastAsia="Arial" w:hAnsi="Arial"/>
          <w:sz w:val="19"/>
          <w:szCs w:val="19"/>
          <w:b w:val="1"/>
          <w:bCs w:val="1"/>
          <w:color w:val="auto"/>
        </w:rPr>
      </w:pPr>
    </w:p>
    <w:p>
      <w:pPr>
        <w:jc w:val="both"/>
        <w:ind w:firstLine="656"/>
        <w:spacing w:after="0" w:line="289" w:lineRule="auto"/>
        <w:tabs>
          <w:tab w:leader="none" w:pos="1041" w:val="left"/>
        </w:tabs>
        <w:numPr>
          <w:ilvl w:val="0"/>
          <w:numId w:val="266"/>
        </w:numPr>
        <w:rPr>
          <w:rFonts w:ascii="Arial" w:cs="Arial" w:eastAsia="Arial" w:hAnsi="Arial"/>
          <w:sz w:val="19"/>
          <w:szCs w:val="19"/>
          <w:b w:val="1"/>
          <w:bCs w:val="1"/>
          <w:color w:val="auto"/>
        </w:rPr>
      </w:pPr>
      <w:r>
        <w:rPr>
          <w:rFonts w:ascii="Arial" w:cs="Arial" w:eastAsia="Arial" w:hAnsi="Arial"/>
          <w:sz w:val="19"/>
          <w:szCs w:val="19"/>
          <w:b w:val="1"/>
          <w:bCs w:val="1"/>
          <w:color w:val="auto"/>
        </w:rPr>
        <w:t>NO LIABILITY FOR TAXES</w:t>
      </w:r>
      <w:r>
        <w:rPr>
          <w:rFonts w:ascii="Arial" w:cs="Arial" w:eastAsia="Arial" w:hAnsi="Arial"/>
          <w:sz w:val="19"/>
          <w:szCs w:val="19"/>
          <w:color w:val="auto"/>
        </w:rPr>
        <w:t>. As a condition to accepting the Option, you hereby (a) agree to not make any claim</w:t>
      </w:r>
      <w:r>
        <w:rPr>
          <w:rFonts w:ascii="Arial" w:cs="Arial" w:eastAsia="Arial" w:hAnsi="Arial"/>
          <w:sz w:val="19"/>
          <w:szCs w:val="19"/>
          <w:b w:val="1"/>
          <w:bCs w:val="1"/>
          <w:color w:val="auto"/>
        </w:rPr>
        <w:t xml:space="preserve"> </w:t>
      </w:r>
      <w:r>
        <w:rPr>
          <w:rFonts w:ascii="Arial" w:cs="Arial" w:eastAsia="Arial" w:hAnsi="Arial"/>
          <w:sz w:val="19"/>
          <w:szCs w:val="19"/>
          <w:color w:val="auto"/>
        </w:rPr>
        <w:t>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50" w:lineRule="exact"/>
        <w:rPr>
          <w:rFonts w:ascii="Arial" w:cs="Arial" w:eastAsia="Arial" w:hAnsi="Arial"/>
          <w:sz w:val="19"/>
          <w:szCs w:val="19"/>
          <w:b w:val="1"/>
          <w:bCs w:val="1"/>
          <w:color w:val="auto"/>
        </w:rPr>
      </w:pPr>
    </w:p>
    <w:p>
      <w:pPr>
        <w:jc w:val="both"/>
        <w:ind w:firstLine="656"/>
        <w:spacing w:after="0" w:line="249" w:lineRule="auto"/>
        <w:tabs>
          <w:tab w:leader="none" w:pos="1161" w:val="left"/>
        </w:tabs>
        <w:numPr>
          <w:ilvl w:val="0"/>
          <w:numId w:val="266"/>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part of this Option Agreement or the Plan is declared by any court or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6" w:lineRule="exact"/>
        <w:rPr>
          <w:rFonts w:ascii="Arial" w:cs="Arial" w:eastAsia="Arial" w:hAnsi="Arial"/>
          <w:sz w:val="22"/>
          <w:szCs w:val="22"/>
          <w:b w:val="1"/>
          <w:bCs w:val="1"/>
          <w:color w:val="auto"/>
        </w:rPr>
      </w:pPr>
    </w:p>
    <w:p>
      <w:pPr>
        <w:jc w:val="both"/>
        <w:ind w:firstLine="656"/>
        <w:spacing w:after="0" w:line="252" w:lineRule="auto"/>
        <w:tabs>
          <w:tab w:leader="none" w:pos="1231" w:val="left"/>
        </w:tabs>
        <w:numPr>
          <w:ilvl w:val="0"/>
          <w:numId w:val="266"/>
        </w:numPr>
        <w:rPr>
          <w:rFonts w:ascii="Arial" w:cs="Arial" w:eastAsia="Arial" w:hAnsi="Arial"/>
          <w:sz w:val="22"/>
          <w:szCs w:val="22"/>
          <w:b w:val="1"/>
          <w:bCs w:val="1"/>
          <w:color w:val="auto"/>
        </w:rPr>
      </w:pPr>
      <w:r>
        <w:rPr>
          <w:rFonts w:ascii="Arial" w:cs="Arial" w:eastAsia="Arial" w:hAnsi="Arial"/>
          <w:sz w:val="22"/>
          <w:szCs w:val="22"/>
          <w:b w:val="1"/>
          <w:bCs w:val="1"/>
          <w:color w:val="auto"/>
        </w:rPr>
        <w:t>OTHER DOCUMENTS</w:t>
      </w:r>
      <w:r>
        <w:rPr>
          <w:rFonts w:ascii="Arial" w:cs="Arial" w:eastAsia="Arial" w:hAnsi="Arial"/>
          <w:sz w:val="22"/>
          <w:szCs w:val="22"/>
          <w:color w:val="auto"/>
        </w:rPr>
        <w:t>. You hereby acknowledge receipt of or the right to receive a document providing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required by Rule 428(b)(1) promulgated under the Securities Act, which includes the Prospectus. In addition, you acknowledge and agree to be subject to the Company’s Trading Policy, which such Trading Policy has been or will be made available to you.</w:t>
      </w:r>
    </w:p>
    <w:p>
      <w:pPr>
        <w:spacing w:after="0" w:line="179" w:lineRule="exact"/>
        <w:rPr>
          <w:rFonts w:ascii="Arial" w:cs="Arial" w:eastAsia="Arial" w:hAnsi="Arial"/>
          <w:sz w:val="22"/>
          <w:szCs w:val="22"/>
          <w:b w:val="1"/>
          <w:bCs w:val="1"/>
          <w:color w:val="auto"/>
        </w:rPr>
      </w:pPr>
    </w:p>
    <w:p>
      <w:pPr>
        <w:ind w:firstLine="656"/>
        <w:spacing w:after="0" w:line="269" w:lineRule="auto"/>
        <w:tabs>
          <w:tab w:leader="none" w:pos="1163" w:val="left"/>
        </w:tabs>
        <w:numPr>
          <w:ilvl w:val="0"/>
          <w:numId w:val="266"/>
        </w:numPr>
        <w:rPr>
          <w:rFonts w:ascii="Arial" w:cs="Arial" w:eastAsia="Arial" w:hAnsi="Arial"/>
          <w:sz w:val="22"/>
          <w:szCs w:val="22"/>
          <w:b w:val="1"/>
          <w:bCs w:val="1"/>
          <w:color w:val="auto"/>
        </w:rPr>
      </w:pPr>
      <w:r>
        <w:rPr>
          <w:rFonts w:ascii="Arial" w:cs="Arial" w:eastAsia="Arial" w:hAnsi="Arial"/>
          <w:sz w:val="22"/>
          <w:szCs w:val="22"/>
          <w:b w:val="1"/>
          <w:bCs w:val="1"/>
          <w:color w:val="auto"/>
        </w:rPr>
        <w:t>QUESTIONS</w:t>
      </w:r>
      <w:r>
        <w:rPr>
          <w:rFonts w:ascii="Arial" w:cs="Arial" w:eastAsia="Arial" w:hAnsi="Arial"/>
          <w:sz w:val="22"/>
          <w:szCs w:val="22"/>
          <w:color w:val="auto"/>
        </w:rPr>
        <w:t>. If you have questions regarding these or any other terms and conditions applicable to your Option,</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 summary of the applicable federal income tax consequences please see the Prospectus.</w:t>
      </w:r>
    </w:p>
    <w:p>
      <w:pPr>
        <w:sectPr>
          <w:pgSz w:w="11900" w:h="16838" w:orient="portrait"/>
          <w:cols w:equalWidth="0" w:num="1">
            <w:col w:w="11240"/>
          </w:cols>
          <w:pgMar w:left="320" w:top="1428" w:right="339" w:bottom="1440" w:gutter="0" w:footer="0" w:header="0"/>
        </w:sectPr>
      </w:pPr>
    </w:p>
    <w:bookmarkStart w:id="305" w:name="page306"/>
    <w:bookmarkEnd w:id="305"/>
    <w:p>
      <w:pPr>
        <w:jc w:val="center"/>
        <w:ind w:right="19"/>
        <w:spacing w:after="0"/>
        <w:rPr>
          <w:sz w:val="20"/>
          <w:szCs w:val="20"/>
          <w:color w:val="auto"/>
        </w:rPr>
      </w:pPr>
      <w:r>
        <w:rPr>
          <w:rFonts w:ascii="Arial" w:cs="Arial" w:eastAsia="Arial" w:hAnsi="Arial"/>
          <w:sz w:val="22"/>
          <w:szCs w:val="22"/>
          <w:color w:val="auto"/>
        </w:rPr>
        <w:t>* * * *</w:t>
      </w:r>
    </w:p>
    <w:p>
      <w:pPr>
        <w:sectPr>
          <w:pgSz w:w="11900" w:h="16838" w:orient="portrait"/>
          <w:cols w:equalWidth="0" w:num="1">
            <w:col w:w="9019"/>
          </w:cols>
          <w:pgMar w:left="1440" w:top="1428" w:right="1440" w:bottom="1440" w:gutter="0" w:footer="0" w:header="0"/>
        </w:sectPr>
      </w:pPr>
    </w:p>
    <w:bookmarkStart w:id="306" w:name="page307"/>
    <w:bookmarkEnd w:id="306"/>
    <w:p>
      <w:pPr>
        <w:jc w:val="center"/>
        <w:ind w:right="-620"/>
        <w:spacing w:after="0"/>
        <w:rPr>
          <w:sz w:val="20"/>
          <w:szCs w:val="20"/>
          <w:color w:val="auto"/>
        </w:rPr>
      </w:pPr>
      <w:r>
        <w:rPr>
          <w:rFonts w:ascii="Arial" w:cs="Arial" w:eastAsia="Arial" w:hAnsi="Arial"/>
          <w:sz w:val="25"/>
          <w:szCs w:val="25"/>
          <w:b w:val="1"/>
          <w:bCs w:val="1"/>
          <w:color w:val="auto"/>
        </w:rPr>
        <w:t>ATTACHMENT II</w:t>
      </w:r>
    </w:p>
    <w:p>
      <w:pPr>
        <w:spacing w:after="0" w:line="226" w:lineRule="exact"/>
        <w:rPr>
          <w:sz w:val="20"/>
          <w:szCs w:val="20"/>
          <w:color w:val="auto"/>
        </w:rPr>
      </w:pPr>
    </w:p>
    <w:p>
      <w:pPr>
        <w:jc w:val="center"/>
        <w:ind w:right="-620"/>
        <w:spacing w:after="0"/>
        <w:rPr>
          <w:sz w:val="20"/>
          <w:szCs w:val="20"/>
          <w:color w:val="auto"/>
        </w:rPr>
      </w:pPr>
      <w:r>
        <w:rPr>
          <w:rFonts w:ascii="Arial" w:cs="Arial" w:eastAsia="Arial" w:hAnsi="Arial"/>
          <w:sz w:val="25"/>
          <w:szCs w:val="25"/>
          <w:b w:val="1"/>
          <w:bCs w:val="1"/>
          <w:color w:val="auto"/>
        </w:rPr>
        <w:t>2021 EQUITY INCENTIVE PLAN</w:t>
      </w:r>
    </w:p>
    <w:p>
      <w:pPr>
        <w:sectPr>
          <w:pgSz w:w="11900" w:h="16838" w:orient="portrait"/>
          <w:cols w:equalWidth="0" w:num="1">
            <w:col w:w="9019"/>
          </w:cols>
          <w:pgMar w:left="1440" w:top="1413" w:right="1440" w:bottom="1440" w:gutter="0" w:footer="0" w:header="0"/>
        </w:sectPr>
      </w:pPr>
    </w:p>
    <w:bookmarkStart w:id="307" w:name="page308"/>
    <w:bookmarkEnd w:id="307"/>
    <w:p>
      <w:pPr>
        <w:jc w:val="center"/>
        <w:ind w:right="-620"/>
        <w:spacing w:after="0"/>
        <w:rPr>
          <w:sz w:val="20"/>
          <w:szCs w:val="20"/>
          <w:color w:val="auto"/>
        </w:rPr>
      </w:pPr>
      <w:r>
        <w:rPr>
          <w:rFonts w:ascii="Arial" w:cs="Arial" w:eastAsia="Arial" w:hAnsi="Arial"/>
          <w:sz w:val="25"/>
          <w:szCs w:val="25"/>
          <w:b w:val="1"/>
          <w:bCs w:val="1"/>
          <w:color w:val="auto"/>
        </w:rPr>
        <w:t>ATTACHMENT III</w:t>
      </w:r>
    </w:p>
    <w:p>
      <w:pPr>
        <w:spacing w:after="0" w:line="226" w:lineRule="exact"/>
        <w:rPr>
          <w:sz w:val="20"/>
          <w:szCs w:val="20"/>
          <w:color w:val="auto"/>
        </w:rPr>
      </w:pPr>
    </w:p>
    <w:p>
      <w:pPr>
        <w:jc w:val="center"/>
        <w:ind w:right="-620"/>
        <w:spacing w:after="0"/>
        <w:rPr>
          <w:sz w:val="20"/>
          <w:szCs w:val="20"/>
          <w:color w:val="auto"/>
        </w:rPr>
      </w:pPr>
      <w:r>
        <w:rPr>
          <w:rFonts w:ascii="Arial" w:cs="Arial" w:eastAsia="Arial" w:hAnsi="Arial"/>
          <w:sz w:val="25"/>
          <w:szCs w:val="25"/>
          <w:b w:val="1"/>
          <w:bCs w:val="1"/>
          <w:color w:val="auto"/>
        </w:rPr>
        <w:t>NOTICE OF EXERCISE</w:t>
      </w:r>
    </w:p>
    <w:p>
      <w:pPr>
        <w:sectPr>
          <w:pgSz w:w="11900" w:h="16838" w:orient="portrait"/>
          <w:cols w:equalWidth="0" w:num="1">
            <w:col w:w="9019"/>
          </w:cols>
          <w:pgMar w:left="1440" w:top="1413" w:right="1440" w:bottom="1440" w:gutter="0" w:footer="0" w:header="0"/>
        </w:sectPr>
      </w:pPr>
    </w:p>
    <w:bookmarkStart w:id="308" w:name="page309"/>
    <w:bookmarkEnd w:id="308"/>
    <w:p>
      <w:pPr>
        <w:jc w:val="center"/>
        <w:spacing w:after="0"/>
        <w:rPr>
          <w:sz w:val="20"/>
          <w:szCs w:val="20"/>
          <w:color w:val="auto"/>
        </w:rPr>
      </w:pPr>
      <w:r>
        <w:rPr>
          <w:rFonts w:ascii="Arial" w:cs="Arial" w:eastAsia="Arial" w:hAnsi="Arial"/>
          <w:sz w:val="25"/>
          <w:szCs w:val="25"/>
          <w:b w:val="1"/>
          <w:bCs w:val="1"/>
          <w:color w:val="auto"/>
        </w:rPr>
        <w:t>NERDWALLET,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(2021 EQUITY INCENTIVE PLAN)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NOTICE OF EXERCISE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NERDWALLET,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875 Stevenson St., 5th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 94103</w:t>
      </w:r>
    </w:p>
    <w:p>
      <w:pPr>
        <w:spacing w:after="0" w:line="202" w:lineRule="exact"/>
        <w:rPr>
          <w:sz w:val="20"/>
          <w:szCs w:val="20"/>
          <w:color w:val="auto"/>
        </w:rPr>
      </w:pPr>
    </w:p>
    <w:p>
      <w:pPr>
        <w:ind w:left="8060"/>
        <w:spacing w:after="0"/>
        <w:rPr>
          <w:sz w:val="20"/>
          <w:szCs w:val="20"/>
          <w:color w:val="auto"/>
        </w:rPr>
      </w:pPr>
      <w:r>
        <w:rPr>
          <w:rFonts w:ascii="Arial" w:cs="Arial" w:eastAsia="Arial" w:hAnsi="Arial"/>
          <w:sz w:val="19"/>
          <w:szCs w:val="19"/>
          <w:color w:val="auto"/>
        </w:rPr>
        <w:t>Date of Exercise: _______________</w:t>
      </w:r>
    </w:p>
    <w:p>
      <w:pPr>
        <w:spacing w:after="0" w:line="254" w:lineRule="exact"/>
        <w:rPr>
          <w:sz w:val="20"/>
          <w:szCs w:val="20"/>
          <w:color w:val="auto"/>
        </w:rPr>
      </w:pPr>
    </w:p>
    <w:p>
      <w:pPr>
        <w:ind w:right="340" w:firstLine="648"/>
        <w:spacing w:after="0" w:line="297" w:lineRule="auto"/>
        <w:rPr>
          <w:sz w:val="20"/>
          <w:szCs w:val="20"/>
          <w:color w:val="auto"/>
        </w:rPr>
      </w:pPr>
      <w:r>
        <w:rPr>
          <w:rFonts w:ascii="Arial" w:cs="Arial" w:eastAsia="Arial" w:hAnsi="Arial"/>
          <w:sz w:val="19"/>
          <w:szCs w:val="19"/>
          <w:color w:val="auto"/>
        </w:rPr>
        <w:t>This constitutes notice to NerdWallet,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that I elect to purchase the below number of shares of Common Stock of the Company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by exercising my Option for the price set forth below. Capitalized terms not explicitly defined in this Notice of Exercise but defined in the Grant Notice, Option Agreement or 2021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shall have the meanings set forth therein, as applicable. Use of certain payment methods is subject to Company and/or Committee consent and certain additional requirements set forth in the Option Agreement and the Plan.</w:t>
      </w:r>
    </w:p>
    <w:p>
      <w:pPr>
        <w:spacing w:after="0" w:line="161" w:lineRule="exact"/>
        <w:rPr>
          <w:sz w:val="20"/>
          <w:szCs w:val="20"/>
          <w:color w:val="auto"/>
        </w:rPr>
      </w:pPr>
    </w:p>
    <w:p>
      <w:pPr>
        <w:ind w:left="680"/>
        <w:spacing w:after="0" w:line="253" w:lineRule="exact"/>
        <w:tabs>
          <w:tab w:leader="none" w:pos="6540" w:val="left"/>
          <w:tab w:leader="none" w:pos="8800" w:val="left"/>
        </w:tabs>
        <w:rPr>
          <w:sz w:val="20"/>
          <w:szCs w:val="20"/>
          <w:color w:val="auto"/>
        </w:rPr>
      </w:pPr>
      <w:r>
        <w:rPr>
          <w:rFonts w:ascii="Arial" w:cs="Arial" w:eastAsia="Arial" w:hAnsi="Arial"/>
          <w:sz w:val="22"/>
          <w:szCs w:val="22"/>
          <w:color w:val="auto"/>
        </w:rPr>
        <w:t>Type of option (check one):</w:t>
      </w:r>
      <w:r>
        <w:rPr>
          <w:sz w:val="20"/>
          <w:szCs w:val="20"/>
          <w:color w:val="auto"/>
        </w:rPr>
        <w:tab/>
      </w:r>
      <w:r>
        <w:rPr>
          <w:rFonts w:ascii="Arial" w:cs="Arial" w:eastAsia="Arial" w:hAnsi="Arial"/>
          <w:sz w:val="22"/>
          <w:szCs w:val="22"/>
          <w:color w:val="auto"/>
        </w:rPr>
        <w:t xml:space="preserve">Incentive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Nonstatutory </w:t>
      </w:r>
      <w:r>
        <w:rPr>
          <w:rFonts w:ascii="MS PGothic" w:cs="MS PGothic" w:eastAsia="MS PGothic" w:hAnsi="MS PGothic"/>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Date of Grant:</w:t>
      </w:r>
    </w:p>
    <w:p>
      <w:pPr>
        <w:spacing w:after="0" w:line="200" w:lineRule="exact"/>
        <w:rPr>
          <w:sz w:val="20"/>
          <w:szCs w:val="20"/>
          <w:color w:val="auto"/>
        </w:rPr>
      </w:pPr>
    </w:p>
    <w:p>
      <w:pPr>
        <w:spacing w:after="0" w:line="23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Number of Shares as to which Option is</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22"/>
          <w:szCs w:val="22"/>
          <w:color w:val="auto"/>
        </w:rPr>
        <w:t>exercised:</w:t>
      </w:r>
    </w:p>
    <w:p>
      <w:pPr>
        <w:spacing w:after="0" w:line="200" w:lineRule="exact"/>
        <w:rPr>
          <w:sz w:val="20"/>
          <w:szCs w:val="20"/>
          <w:color w:val="auto"/>
        </w:rPr>
      </w:pPr>
    </w:p>
    <w:p>
      <w:pPr>
        <w:spacing w:after="0" w:line="21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Certificates to be issued in name of:</w:t>
      </w:r>
    </w:p>
    <w:p>
      <w:pPr>
        <w:spacing w:after="0" w:line="200" w:lineRule="exact"/>
        <w:rPr>
          <w:sz w:val="20"/>
          <w:szCs w:val="20"/>
          <w:color w:val="auto"/>
        </w:rPr>
      </w:pPr>
    </w:p>
    <w:p>
      <w:pPr>
        <w:spacing w:after="0" w:line="230"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Total exercise price:</w:t>
      </w:r>
    </w:p>
    <w:p>
      <w:pPr>
        <w:ind w:left="6560"/>
        <w:spacing w:after="0"/>
        <w:rPr>
          <w:sz w:val="20"/>
          <w:szCs w:val="20"/>
          <w:color w:val="auto"/>
        </w:rPr>
      </w:pPr>
      <w:r>
        <w:rPr>
          <w:rFonts w:ascii="Arial" w:cs="Arial" w:eastAsia="Arial" w:hAnsi="Arial"/>
          <w:sz w:val="22"/>
          <w:szCs w:val="22"/>
          <w:color w:val="auto"/>
        </w:rPr>
        <w:t>$_________</w:t>
      </w:r>
    </w:p>
    <w:p>
      <w:pPr>
        <w:spacing w:after="0" w:line="188"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Cash, check, bank draft or money order delivered</w:t>
      </w:r>
    </w:p>
    <w:p>
      <w:pPr>
        <w:ind w:left="1320"/>
        <w:spacing w:after="0" w:line="238" w:lineRule="auto"/>
        <w:rPr>
          <w:sz w:val="20"/>
          <w:szCs w:val="20"/>
          <w:color w:val="auto"/>
        </w:rPr>
      </w:pPr>
      <w:r>
        <w:rPr>
          <w:rFonts w:ascii="Arial" w:cs="Arial" w:eastAsia="Arial" w:hAnsi="Arial"/>
          <w:sz w:val="22"/>
          <w:szCs w:val="22"/>
          <w:color w:val="auto"/>
        </w:rPr>
        <w:t>herewith:</w:t>
      </w:r>
    </w:p>
    <w:p>
      <w:pPr>
        <w:ind w:left="6560"/>
        <w:spacing w:after="0"/>
        <w:rPr>
          <w:sz w:val="20"/>
          <w:szCs w:val="20"/>
          <w:color w:val="auto"/>
        </w:rPr>
      </w:pPr>
      <w:r>
        <w:rPr>
          <w:rFonts w:ascii="Arial" w:cs="Arial" w:eastAsia="Arial" w:hAnsi="Arial"/>
          <w:sz w:val="22"/>
          <w:szCs w:val="22"/>
          <w:color w:val="auto"/>
        </w:rPr>
        <w:t>$_________</w:t>
      </w:r>
    </w:p>
    <w:p>
      <w:pPr>
        <w:spacing w:after="0" w:line="188"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Value of _______________ Shares delivered</w:t>
      </w:r>
    </w:p>
    <w:p>
      <w:pPr>
        <w:ind w:left="1320"/>
        <w:spacing w:after="0" w:line="238" w:lineRule="auto"/>
        <w:rPr>
          <w:sz w:val="20"/>
          <w:szCs w:val="20"/>
          <w:color w:val="auto"/>
        </w:rPr>
      </w:pPr>
      <w:r>
        <w:rPr>
          <w:rFonts w:ascii="Arial" w:cs="Arial" w:eastAsia="Arial" w:hAnsi="Arial"/>
          <w:sz w:val="22"/>
          <w:szCs w:val="22"/>
          <w:color w:val="auto"/>
        </w:rPr>
        <w:t>herewith:</w:t>
      </w:r>
    </w:p>
    <w:p>
      <w:pPr>
        <w:ind w:left="6560"/>
        <w:spacing w:after="0"/>
        <w:rPr>
          <w:sz w:val="20"/>
          <w:szCs w:val="20"/>
          <w:color w:val="auto"/>
        </w:rPr>
      </w:pPr>
      <w:r>
        <w:rPr>
          <w:rFonts w:ascii="Arial" w:cs="Arial" w:eastAsia="Arial" w:hAnsi="Arial"/>
          <w:sz w:val="22"/>
          <w:szCs w:val="22"/>
          <w:color w:val="auto"/>
        </w:rPr>
        <w:t>$_________</w:t>
      </w:r>
    </w:p>
    <w:p>
      <w:pPr>
        <w:spacing w:after="0" w:line="183"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Regulation T Program (cashless exercise)</w:t>
      </w:r>
    </w:p>
    <w:p>
      <w:pPr>
        <w:ind w:left="6560"/>
        <w:spacing w:after="0"/>
        <w:rPr>
          <w:sz w:val="20"/>
          <w:szCs w:val="20"/>
          <w:color w:val="auto"/>
        </w:rPr>
      </w:pPr>
      <w:r>
        <w:rPr>
          <w:rFonts w:ascii="Arial" w:cs="Arial" w:eastAsia="Arial" w:hAnsi="Arial"/>
          <w:sz w:val="22"/>
          <w:szCs w:val="22"/>
          <w:color w:val="auto"/>
        </w:rPr>
        <w:t>$_________</w:t>
      </w:r>
    </w:p>
    <w:p>
      <w:pPr>
        <w:spacing w:after="0" w:line="188"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Value of _______________ Shares pursuant to</w:t>
      </w:r>
    </w:p>
    <w:p>
      <w:pPr>
        <w:ind w:left="1320"/>
        <w:spacing w:after="0" w:line="238" w:lineRule="auto"/>
        <w:rPr>
          <w:sz w:val="20"/>
          <w:szCs w:val="20"/>
          <w:color w:val="auto"/>
        </w:rPr>
      </w:pPr>
      <w:r>
        <w:rPr>
          <w:rFonts w:ascii="Arial" w:cs="Arial" w:eastAsia="Arial" w:hAnsi="Arial"/>
          <w:sz w:val="22"/>
          <w:szCs w:val="22"/>
          <w:color w:val="auto"/>
        </w:rPr>
        <w:t>net exercise:</w:t>
      </w:r>
    </w:p>
    <w:p>
      <w:pPr>
        <w:ind w:left="6560"/>
        <w:spacing w:after="0"/>
        <w:rPr>
          <w:sz w:val="20"/>
          <w:szCs w:val="20"/>
          <w:color w:val="auto"/>
        </w:rPr>
      </w:pPr>
      <w:r>
        <w:rPr>
          <w:rFonts w:ascii="Arial" w:cs="Arial" w:eastAsia="Arial" w:hAnsi="Arial"/>
          <w:sz w:val="22"/>
          <w:szCs w:val="22"/>
          <w:color w:val="auto"/>
        </w:rPr>
        <w:t>$_________</w:t>
      </w:r>
    </w:p>
    <w:p>
      <w:pPr>
        <w:sectPr>
          <w:pgSz w:w="11900" w:h="16838" w:orient="portrait"/>
          <w:cols w:equalWidth="0" w:num="1">
            <w:col w:w="11240"/>
          </w:cols>
          <w:pgMar w:left="320" w:top="1413" w:right="339" w:bottom="1440" w:gutter="0" w:footer="0" w:header="0"/>
        </w:sectPr>
      </w:pPr>
    </w:p>
    <w:bookmarkStart w:id="309" w:name="page310"/>
    <w:bookmarkEnd w:id="309"/>
    <w:p>
      <w:pPr>
        <w:jc w:val="both"/>
        <w:ind w:firstLine="648"/>
        <w:spacing w:after="0" w:line="263" w:lineRule="auto"/>
        <w:rPr>
          <w:sz w:val="20"/>
          <w:szCs w:val="20"/>
          <w:color w:val="auto"/>
        </w:rPr>
      </w:pPr>
      <w:r>
        <w:rPr>
          <w:rFonts w:ascii="Arial" w:cs="Arial" w:eastAsia="Arial" w:hAnsi="Arial"/>
          <w:sz w:val="21"/>
          <w:szCs w:val="21"/>
          <w:color w:val="auto"/>
        </w:rPr>
        <w:t>By this exercise, I agree (i) to provide such additional documents as the Company may require pursuant to the terms of the Plan, (ii) to satisfy the tax withholding obligations, if any, relating to the exercise of this Option as set forth in the Option Agreement, and (iii) if this exercise relates to an incentive stock option, to notify the Company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Arial" w:cs="Arial" w:eastAsia="Arial" w:hAnsi="Arial"/>
          <w:sz w:val="19"/>
          <w:szCs w:val="19"/>
          <w:b w:val="1"/>
          <w:bCs w:val="1"/>
          <w:i w:val="1"/>
          <w:iCs w:val="1"/>
          <w:color w:val="auto"/>
        </w:rPr>
        <w:t>Lock-Up Period</w:t>
      </w:r>
      <w:r>
        <w:rPr>
          <w:rFonts w:ascii="Arial" w:cs="Arial" w:eastAsia="Arial" w:hAnsi="Arial"/>
          <w:sz w:val="19"/>
          <w:szCs w:val="19"/>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00" w:lineRule="exact"/>
        <w:rPr>
          <w:sz w:val="20"/>
          <w:szCs w:val="20"/>
          <w:color w:val="auto"/>
        </w:rPr>
      </w:pPr>
    </w:p>
    <w:p>
      <w:pPr>
        <w:spacing w:after="0" w:line="202"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358775</wp:posOffset>
            </wp:positionV>
            <wp:extent cx="19545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NerdWallet,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RSU Award Grant Notice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(2021 Equity Incentive Plan)</w:t>
      </w:r>
    </w:p>
    <w:p>
      <w:pPr>
        <w:spacing w:after="0" w:line="1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NerdWallet,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2021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awarded to you (the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the number of restricted stock units specified, and on the terms set forth, below (the “</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Your RSU Award is subject to all of the terms and conditions set forth herein and in the Plan and the Award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both of which are attached hereto and incorporated herein in their entirety. Capitalized terms not explicitly defined herein but defined in the Plan or the Agreement shall have the meanings set forth in the Plan or the Agreement.</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31750</wp:posOffset>
            </wp:positionV>
            <wp:extent cx="30346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31750</wp:posOffset>
            </wp:positionV>
            <wp:extent cx="30346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31750</wp:posOffset>
            </wp:positionV>
            <wp:extent cx="30346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31750</wp:posOffset>
            </wp:positionV>
            <wp:extent cx="30346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280" w:type="dxa"/>
            <w:vAlign w:val="bottom"/>
          </w:tcPr>
          <w:p>
            <w:pPr>
              <w:jc w:val="center"/>
              <w:ind w:right="710"/>
              <w:spacing w:after="0"/>
              <w:rPr>
                <w:sz w:val="20"/>
                <w:szCs w:val="20"/>
                <w:color w:val="auto"/>
              </w:rPr>
            </w:pPr>
            <w:r>
              <w:rPr>
                <w:rFonts w:ascii="Arial" w:cs="Arial" w:eastAsia="Arial" w:hAnsi="Arial"/>
                <w:sz w:val="18"/>
                <w:szCs w:val="18"/>
                <w:b w:val="1"/>
                <w:bCs w:val="1"/>
                <w:color w:val="auto"/>
                <w:w w:val="87"/>
              </w:rPr>
              <w:t>Vesting Schedule:</w:t>
            </w:r>
          </w:p>
        </w:tc>
        <w:tc>
          <w:tcPr>
            <w:tcW w:w="8920" w:type="dxa"/>
            <w:vAlign w:val="bottom"/>
          </w:tcPr>
          <w:p>
            <w:pPr>
              <w:jc w:val="right"/>
              <w:ind w:right="2110"/>
              <w:spacing w:after="0"/>
              <w:rPr>
                <w:sz w:val="20"/>
                <w:szCs w:val="20"/>
                <w:color w:val="auto"/>
              </w:rPr>
            </w:pPr>
            <w:r>
              <w:rPr>
                <w:rFonts w:ascii="Arial" w:cs="Arial" w:eastAsia="Arial" w:hAnsi="Arial"/>
                <w:sz w:val="18"/>
                <w:szCs w:val="18"/>
                <w:color w:val="auto"/>
              </w:rPr>
              <w:t>[_______________________________________________________________].</w:t>
            </w:r>
          </w:p>
        </w:tc>
      </w:tr>
      <w:tr>
        <w:trPr>
          <w:trHeight w:val="271"/>
        </w:trPr>
        <w:tc>
          <w:tcPr>
            <w:tcW w:w="2280" w:type="dxa"/>
            <w:vAlign w:val="bottom"/>
          </w:tcPr>
          <w:p>
            <w:pPr>
              <w:spacing w:after="0"/>
              <w:rPr>
                <w:sz w:val="23"/>
                <w:szCs w:val="23"/>
                <w:color w:val="auto"/>
              </w:rPr>
            </w:pPr>
          </w:p>
        </w:tc>
        <w:tc>
          <w:tcPr>
            <w:tcW w:w="8920" w:type="dxa"/>
            <w:vAlign w:val="bottom"/>
          </w:tcPr>
          <w:p>
            <w:pPr>
              <w:ind w:left="840"/>
              <w:spacing w:after="0"/>
              <w:rPr>
                <w:sz w:val="20"/>
                <w:szCs w:val="20"/>
                <w:color w:val="auto"/>
              </w:rPr>
            </w:pPr>
            <w:r>
              <w:rPr>
                <w:rFonts w:ascii="Arial" w:cs="Arial" w:eastAsia="Arial" w:hAnsi="Arial"/>
                <w:sz w:val="18"/>
                <w:szCs w:val="18"/>
                <w:color w:val="auto"/>
                <w:w w:val="93"/>
              </w:rPr>
              <w:t>Notwithstanding the foregoing, vesting shall terminate upon Participant’s termination of Continuous Service.</w:t>
            </w:r>
            <w:r>
              <w:rPr>
                <w:rFonts w:ascii="Arial" w:cs="Arial" w:eastAsia="Arial" w:hAnsi="Arial"/>
                <w:sz w:val="23"/>
                <w:szCs w:val="23"/>
                <w:color w:val="auto"/>
                <w:w w:val="93"/>
                <w:vertAlign w:val="superscript"/>
              </w:rPr>
              <w:t>1</w:t>
            </w:r>
          </w:p>
        </w:tc>
      </w:tr>
      <w:tr>
        <w:trPr>
          <w:trHeight w:val="220"/>
        </w:trPr>
        <w:tc>
          <w:tcPr>
            <w:tcW w:w="2280" w:type="dxa"/>
            <w:vAlign w:val="bottom"/>
          </w:tcPr>
          <w:p>
            <w:pPr>
              <w:jc w:val="center"/>
              <w:ind w:right="730"/>
              <w:spacing w:after="0"/>
              <w:rPr>
                <w:sz w:val="20"/>
                <w:szCs w:val="20"/>
                <w:color w:val="auto"/>
              </w:rPr>
            </w:pPr>
            <w:r>
              <w:rPr>
                <w:rFonts w:ascii="Arial" w:cs="Arial" w:eastAsia="Arial" w:hAnsi="Arial"/>
                <w:sz w:val="18"/>
                <w:szCs w:val="18"/>
                <w:b w:val="1"/>
                <w:bCs w:val="1"/>
                <w:color w:val="auto"/>
                <w:w w:val="86"/>
              </w:rPr>
              <w:t>Issuance Schedule:</w:t>
            </w:r>
          </w:p>
        </w:tc>
        <w:tc>
          <w:tcPr>
            <w:tcW w:w="8920" w:type="dxa"/>
            <w:vAlign w:val="bottom"/>
          </w:tcPr>
          <w:p>
            <w:pPr>
              <w:ind w:left="840"/>
              <w:spacing w:after="0"/>
              <w:rPr>
                <w:sz w:val="20"/>
                <w:szCs w:val="20"/>
                <w:color w:val="auto"/>
              </w:rPr>
            </w:pPr>
            <w:r>
              <w:rPr>
                <w:rFonts w:ascii="Arial" w:cs="Arial" w:eastAsia="Arial" w:hAnsi="Arial"/>
                <w:sz w:val="18"/>
                <w:szCs w:val="18"/>
                <w:color w:val="auto"/>
                <w:w w:val="94"/>
              </w:rPr>
              <w:t>One share of Common Stock will be issued for each restricted stock unit which vests at the time set forth in</w:t>
            </w:r>
          </w:p>
        </w:tc>
      </w:tr>
      <w:tr>
        <w:trPr>
          <w:trHeight w:val="230"/>
        </w:trPr>
        <w:tc>
          <w:tcPr>
            <w:tcW w:w="2280" w:type="dxa"/>
            <w:vAlign w:val="bottom"/>
          </w:tcPr>
          <w:p>
            <w:pPr>
              <w:spacing w:after="0"/>
              <w:rPr>
                <w:sz w:val="20"/>
                <w:szCs w:val="20"/>
                <w:color w:val="auto"/>
              </w:rPr>
            </w:pPr>
          </w:p>
        </w:tc>
        <w:tc>
          <w:tcPr>
            <w:tcW w:w="8920" w:type="dxa"/>
            <w:vAlign w:val="bottom"/>
          </w:tcPr>
          <w:p>
            <w:pPr>
              <w:ind w:left="840"/>
              <w:spacing w:after="0"/>
              <w:rPr>
                <w:sz w:val="20"/>
                <w:szCs w:val="20"/>
                <w:color w:val="auto"/>
              </w:rPr>
            </w:pPr>
            <w:r>
              <w:rPr>
                <w:rFonts w:ascii="Arial" w:cs="Arial" w:eastAsia="Arial" w:hAnsi="Arial"/>
                <w:sz w:val="18"/>
                <w:szCs w:val="18"/>
                <w:color w:val="auto"/>
              </w:rPr>
              <w:t>Section 5 of the Agreement.</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Participant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112" w:lineRule="exact"/>
        <w:rPr>
          <w:sz w:val="20"/>
          <w:szCs w:val="20"/>
          <w:color w:val="auto"/>
        </w:rPr>
      </w:pPr>
    </w:p>
    <w:p>
      <w:pPr>
        <w:jc w:val="both"/>
        <w:ind w:left="1300" w:hanging="320"/>
        <w:spacing w:after="0" w:line="259" w:lineRule="auto"/>
        <w:tabs>
          <w:tab w:leader="none" w:pos="129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RSU Award is governed by this RSU Award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the provisions of the Plan and the Agreement, all of which are made a part of this document. Unless otherwise provided in the Plan, this Grant Notice and the Agreement (together, the “</w:t>
      </w:r>
      <w:r>
        <w:rPr>
          <w:rFonts w:ascii="Arial" w:cs="Arial" w:eastAsia="Arial" w:hAnsi="Arial"/>
          <w:sz w:val="18"/>
          <w:szCs w:val="18"/>
          <w:b w:val="1"/>
          <w:bCs w:val="1"/>
          <w:i w:val="1"/>
          <w:iCs w:val="1"/>
          <w:color w:val="auto"/>
        </w:rPr>
        <w:t>RSU Award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132"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129" w:lineRule="exact"/>
        <w:rPr>
          <w:rFonts w:ascii="Arial" w:cs="Arial" w:eastAsia="Arial" w:hAnsi="Arial"/>
          <w:sz w:val="18"/>
          <w:szCs w:val="18"/>
          <w:color w:val="auto"/>
        </w:rPr>
      </w:pPr>
    </w:p>
    <w:p>
      <w:pPr>
        <w:jc w:val="both"/>
        <w:ind w:left="1300" w:hanging="320"/>
        <w:spacing w:after="0" w:line="257" w:lineRule="auto"/>
        <w:tabs>
          <w:tab w:leader="none" w:pos="129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184"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NerdWallet, Inc.</w:t>
            </w:r>
          </w:p>
        </w:tc>
        <w:tc>
          <w:tcPr>
            <w:tcW w:w="5620" w:type="dxa"/>
            <w:vAlign w:val="bottom"/>
            <w:gridSpan w:val="2"/>
          </w:tcPr>
          <w:p>
            <w:pPr>
              <w:ind w:left="60"/>
              <w:spacing w:after="0"/>
              <w:rPr>
                <w:sz w:val="20"/>
                <w:szCs w:val="20"/>
                <w:color w:val="auto"/>
              </w:rPr>
            </w:pPr>
            <w:r>
              <w:rPr>
                <w:rFonts w:ascii="Arial" w:cs="Arial" w:eastAsia="Arial" w:hAnsi="Arial"/>
                <w:sz w:val="18"/>
                <w:szCs w:val="18"/>
                <w:b w:val="1"/>
                <w:bCs w:val="1"/>
                <w:color w:val="auto"/>
              </w:rPr>
              <w:t>Participant:</w:t>
            </w:r>
          </w:p>
        </w:tc>
      </w:tr>
      <w:tr>
        <w:trPr>
          <w:trHeight w:val="486"/>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By</w:t>
            </w:r>
          </w:p>
        </w:tc>
        <w:tc>
          <w:tcPr>
            <w:tcW w:w="5620" w:type="dxa"/>
            <w:vAlign w:val="bottom"/>
            <w:gridSpan w:val="2"/>
          </w:tcPr>
          <w:p>
            <w:pPr>
              <w:ind w:left="60"/>
              <w:spacing w:after="0"/>
              <w:rPr>
                <w:sz w:val="20"/>
                <w:szCs w:val="20"/>
                <w:color w:val="auto"/>
              </w:rPr>
            </w:pPr>
            <w:r>
              <w:rPr>
                <w:rFonts w:ascii="Arial" w:cs="Arial" w:eastAsia="Arial" w:hAnsi="Arial"/>
                <w:sz w:val="18"/>
                <w:szCs w:val="18"/>
                <w:b w:val="1"/>
                <w:bCs w:val="1"/>
                <w:color w:val="auto"/>
              </w:rPr>
              <w:t>By:</w:t>
            </w:r>
          </w:p>
        </w:tc>
      </w:tr>
      <w:tr>
        <w:trPr>
          <w:trHeight w:val="243"/>
        </w:trPr>
        <w:tc>
          <w:tcPr>
            <w:tcW w:w="760" w:type="dxa"/>
            <w:vAlign w:val="bottom"/>
          </w:tcPr>
          <w:p>
            <w:pPr>
              <w:spacing w:after="0"/>
              <w:rPr>
                <w:sz w:val="21"/>
                <w:szCs w:val="21"/>
                <w:color w:val="auto"/>
              </w:rPr>
            </w:pPr>
          </w:p>
        </w:tc>
        <w:tc>
          <w:tcPr>
            <w:tcW w:w="4780" w:type="dxa"/>
            <w:vAlign w:val="bottom"/>
            <w:tcBorders>
              <w:bottom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4780" w:type="dxa"/>
            <w:vAlign w:val="bottom"/>
            <w:tcBorders>
              <w:bottom w:val="single" w:sz="8" w:color="auto"/>
            </w:tcBorders>
          </w:tcPr>
          <w:p>
            <w:pPr>
              <w:spacing w:after="0"/>
              <w:rPr>
                <w:sz w:val="21"/>
                <w:szCs w:val="21"/>
                <w:color w:val="auto"/>
              </w:rPr>
            </w:pPr>
          </w:p>
        </w:tc>
      </w:tr>
      <w:tr>
        <w:trPr>
          <w:trHeight w:val="224"/>
        </w:trPr>
        <w:tc>
          <w:tcPr>
            <w:tcW w:w="760" w:type="dxa"/>
            <w:vAlign w:val="bottom"/>
          </w:tcPr>
          <w:p>
            <w:pPr>
              <w:spacing w:after="0"/>
              <w:rPr>
                <w:sz w:val="19"/>
                <w:szCs w:val="19"/>
                <w:color w:val="auto"/>
              </w:rPr>
            </w:pPr>
          </w:p>
        </w:tc>
        <w:tc>
          <w:tcPr>
            <w:tcW w:w="4780" w:type="dxa"/>
            <w:vAlign w:val="bottom"/>
          </w:tcPr>
          <w:p>
            <w:pPr>
              <w:ind w:left="1620"/>
              <w:spacing w:after="0"/>
              <w:rPr>
                <w:sz w:val="20"/>
                <w:szCs w:val="20"/>
                <w:color w:val="auto"/>
              </w:rPr>
            </w:pPr>
            <w:r>
              <w:rPr>
                <w:rFonts w:ascii="Arial" w:cs="Arial" w:eastAsia="Arial" w:hAnsi="Arial"/>
                <w:sz w:val="18"/>
                <w:szCs w:val="18"/>
                <w:color w:val="auto"/>
              </w:rPr>
              <w:t>Signature</w:t>
            </w:r>
          </w:p>
        </w:tc>
        <w:tc>
          <w:tcPr>
            <w:tcW w:w="840" w:type="dxa"/>
            <w:vAlign w:val="bottom"/>
          </w:tcPr>
          <w:p>
            <w:pPr>
              <w:spacing w:after="0"/>
              <w:rPr>
                <w:sz w:val="19"/>
                <w:szCs w:val="19"/>
                <w:color w:val="auto"/>
              </w:rPr>
            </w:pPr>
          </w:p>
        </w:tc>
        <w:tc>
          <w:tcPr>
            <w:tcW w:w="4780" w:type="dxa"/>
            <w:vAlign w:val="bottom"/>
          </w:tcPr>
          <w:p>
            <w:pPr>
              <w:ind w:left="1620"/>
              <w:spacing w:after="0"/>
              <w:rPr>
                <w:sz w:val="20"/>
                <w:szCs w:val="20"/>
                <w:color w:val="auto"/>
              </w:rPr>
            </w:pPr>
            <w:r>
              <w:rPr>
                <w:rFonts w:ascii="Arial" w:cs="Arial" w:eastAsia="Arial" w:hAnsi="Arial"/>
                <w:sz w:val="18"/>
                <w:szCs w:val="18"/>
                <w:color w:val="auto"/>
              </w:rPr>
              <w:t>Signature</w:t>
            </w:r>
          </w:p>
        </w:tc>
      </w:tr>
      <w:tr>
        <w:trPr>
          <w:trHeight w:val="269"/>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5620" w:type="dxa"/>
            <w:vAlign w:val="bottom"/>
            <w:gridSpan w:val="2"/>
          </w:tcPr>
          <w:p>
            <w:pPr>
              <w:ind w:left="60"/>
              <w:spacing w:after="0"/>
              <w:rPr>
                <w:sz w:val="20"/>
                <w:szCs w:val="20"/>
                <w:color w:val="auto"/>
              </w:rPr>
            </w:pPr>
            <w:r>
              <w:rPr>
                <w:rFonts w:ascii="Arial" w:cs="Arial" w:eastAsia="Arial" w:hAnsi="Arial"/>
                <w:sz w:val="18"/>
                <w:szCs w:val="18"/>
                <w:b w:val="1"/>
                <w:bCs w:val="1"/>
                <w:color w:val="auto"/>
              </w:rPr>
              <w:t>Date:</w:t>
            </w:r>
          </w:p>
        </w:tc>
      </w:tr>
      <w:tr>
        <w:trPr>
          <w:trHeight w:val="27"/>
        </w:trPr>
        <w:tc>
          <w:tcPr>
            <w:tcW w:w="76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479"/>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84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7"/>
        </w:trPr>
        <w:tc>
          <w:tcPr>
            <w:tcW w:w="76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47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714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0" w:lineRule="exact"/>
        <w:rPr>
          <w:sz w:val="20"/>
          <w:szCs w:val="20"/>
          <w:color w:val="auto"/>
        </w:rPr>
      </w:pPr>
    </w:p>
    <w:p>
      <w:pPr>
        <w:ind w:left="120" w:hanging="112"/>
        <w:spacing w:after="0"/>
        <w:tabs>
          <w:tab w:leader="none" w:pos="120" w:val="left"/>
        </w:tabs>
        <w:numPr>
          <w:ilvl w:val="0"/>
          <w:numId w:val="268"/>
        </w:numPr>
        <w:rPr>
          <w:rFonts w:ascii="Arial" w:cs="Arial" w:eastAsia="Arial" w:hAnsi="Arial"/>
          <w:sz w:val="23"/>
          <w:szCs w:val="23"/>
          <w:color w:val="auto"/>
          <w:vertAlign w:val="superscript"/>
        </w:rPr>
      </w:pPr>
      <w:r>
        <w:rPr>
          <w:rFonts w:ascii="Arial" w:cs="Arial" w:eastAsia="Arial" w:hAnsi="Arial"/>
          <w:sz w:val="18"/>
          <w:szCs w:val="18"/>
          <w:b w:val="1"/>
          <w:bCs w:val="1"/>
          <w:color w:val="auto"/>
        </w:rPr>
        <w:t>Note to Draft</w:t>
      </w:r>
      <w:r>
        <w:rPr>
          <w:rFonts w:ascii="Arial" w:cs="Arial" w:eastAsia="Arial" w:hAnsi="Arial"/>
          <w:sz w:val="18"/>
          <w:szCs w:val="18"/>
          <w:color w:val="auto"/>
        </w:rPr>
        <w:t>: To insert applicable vesting schedule.</w:t>
      </w:r>
    </w:p>
    <w:p>
      <w:pPr>
        <w:sectPr>
          <w:pgSz w:w="11900" w:h="16838" w:orient="portrait"/>
          <w:cols w:equalWidth="0" w:num="1">
            <w:col w:w="11240"/>
          </w:cols>
          <w:pgMar w:left="320" w:top="121" w:right="3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RSU Award Agreement, 2021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119"/>
          </w:cols>
          <w:pgMar w:left="340" w:top="1417" w:right="1440" w:bottom="1440" w:gutter="0" w:footer="0" w:header="0"/>
        </w:sectPr>
      </w:pPr>
    </w:p>
    <w:bookmarkStart w:id="312" w:name="page313"/>
    <w:bookmarkEnd w:id="312"/>
    <w:p>
      <w:pPr>
        <w:jc w:val="center"/>
        <w:ind w:right="19"/>
        <w:spacing w:after="0"/>
        <w:rPr>
          <w:sz w:val="20"/>
          <w:szCs w:val="20"/>
          <w:color w:val="auto"/>
        </w:rPr>
      </w:pPr>
      <w:r>
        <w:rPr>
          <w:rFonts w:ascii="Arial" w:cs="Arial" w:eastAsia="Arial" w:hAnsi="Arial"/>
          <w:sz w:val="25"/>
          <w:szCs w:val="25"/>
          <w:b w:val="1"/>
          <w:bCs w:val="1"/>
          <w:color w:val="auto"/>
        </w:rPr>
        <w:t>Attachment I</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019"/>
          </w:cols>
          <w:pgMar w:left="1440" w:top="1413" w:right="1440" w:bottom="1440" w:gutter="0" w:footer="0" w:header="0"/>
        </w:sectPr>
      </w:pPr>
    </w:p>
    <w:bookmarkStart w:id="313" w:name="page314"/>
    <w:bookmarkEnd w:id="313"/>
    <w:p>
      <w:pPr>
        <w:spacing w:after="0" w:line="216" w:lineRule="exact"/>
        <w:rPr>
          <w:sz w:val="20"/>
          <w:szCs w:val="20"/>
          <w:color w:val="auto"/>
        </w:rPr>
      </w:pPr>
    </w:p>
    <w:p>
      <w:pPr>
        <w:ind w:left="4740"/>
        <w:spacing w:after="0"/>
        <w:rPr>
          <w:sz w:val="20"/>
          <w:szCs w:val="20"/>
          <w:color w:val="auto"/>
        </w:rPr>
      </w:pPr>
      <w:r>
        <w:rPr>
          <w:rFonts w:ascii="Arial" w:cs="Arial" w:eastAsia="Arial" w:hAnsi="Arial"/>
          <w:sz w:val="25"/>
          <w:szCs w:val="25"/>
          <w:b w:val="1"/>
          <w:bCs w:val="1"/>
          <w:color w:val="auto"/>
        </w:rPr>
        <w:t>NerdWallet, Inc.</w:t>
      </w:r>
    </w:p>
    <w:p>
      <w:pPr>
        <w:spacing w:after="0" w:line="38" w:lineRule="exact"/>
        <w:rPr>
          <w:sz w:val="20"/>
          <w:szCs w:val="20"/>
          <w:color w:val="auto"/>
        </w:rPr>
      </w:pPr>
    </w:p>
    <w:p>
      <w:pPr>
        <w:ind w:left="4180"/>
        <w:spacing w:after="0"/>
        <w:rPr>
          <w:sz w:val="20"/>
          <w:szCs w:val="20"/>
          <w:color w:val="auto"/>
        </w:rPr>
      </w:pPr>
      <w:r>
        <w:rPr>
          <w:rFonts w:ascii="Arial" w:cs="Arial" w:eastAsia="Arial" w:hAnsi="Arial"/>
          <w:sz w:val="25"/>
          <w:szCs w:val="25"/>
          <w:b w:val="1"/>
          <w:bCs w:val="1"/>
          <w:color w:val="auto"/>
        </w:rPr>
        <w:t>2021 Equity Incentive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Award Agreement (RSU Award)</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As reflected by your Restricted Stock Unit Grant Notice (“</w:t>
      </w:r>
      <w:r>
        <w:rPr>
          <w:rFonts w:ascii="Arial" w:cs="Arial" w:eastAsia="Arial" w:hAnsi="Arial"/>
          <w:sz w:val="22"/>
          <w:szCs w:val="22"/>
          <w:b w:val="1"/>
          <w:bCs w:val="1"/>
          <w:i w:val="1"/>
          <w:iCs w:val="1"/>
          <w:color w:val="auto"/>
        </w:rPr>
        <w:t>Grant Notice</w:t>
      </w:r>
      <w:r>
        <w:rPr>
          <w:rFonts w:ascii="Arial" w:cs="Arial" w:eastAsia="Arial" w:hAnsi="Arial"/>
          <w:sz w:val="22"/>
          <w:szCs w:val="22"/>
          <w:color w:val="auto"/>
        </w:rPr>
        <w:t>”), NerdWallet,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RSU Award under its 2021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 indicated in your Grant Notice (the “</w:t>
      </w:r>
      <w:r>
        <w:rPr>
          <w:rFonts w:ascii="Arial" w:cs="Arial" w:eastAsia="Arial" w:hAnsi="Arial"/>
          <w:sz w:val="22"/>
          <w:szCs w:val="22"/>
          <w:b w:val="1"/>
          <w:bCs w:val="1"/>
          <w:i w:val="1"/>
          <w:iCs w:val="1"/>
          <w:color w:val="auto"/>
        </w:rPr>
        <w:t>RSU Award</w:t>
      </w:r>
      <w:r>
        <w:rPr>
          <w:rFonts w:ascii="Arial" w:cs="Arial" w:eastAsia="Arial" w:hAnsi="Arial"/>
          <w:sz w:val="22"/>
          <w:szCs w:val="22"/>
          <w:color w:val="auto"/>
        </w:rPr>
        <w:t>”). The terms of your RSU Award as specified in this Award Agreement for your RSU Award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the Grant Notice constitute your “</w:t>
      </w:r>
      <w:r>
        <w:rPr>
          <w:rFonts w:ascii="Arial" w:cs="Arial" w:eastAsia="Arial" w:hAnsi="Arial"/>
          <w:sz w:val="22"/>
          <w:szCs w:val="22"/>
          <w:b w:val="1"/>
          <w:bCs w:val="1"/>
          <w:i w:val="1"/>
          <w:iCs w:val="1"/>
          <w:color w:val="auto"/>
        </w:rPr>
        <w:t>RSU Award Agreement</w:t>
      </w:r>
      <w:r>
        <w:rPr>
          <w:rFonts w:ascii="Arial" w:cs="Arial" w:eastAsia="Arial" w:hAnsi="Arial"/>
          <w:sz w:val="22"/>
          <w:szCs w:val="22"/>
          <w:color w:val="auto"/>
        </w:rPr>
        <w:t>”. Defined terms not explicitly defined in this Agreement but defined in the Grant Notice or the Plan shall have the same definitions as in the Grant Notice or Plan, as applicable.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general terms applicable to your RSU Award are as follows:</w:t>
      </w:r>
    </w:p>
    <w:p>
      <w:pPr>
        <w:spacing w:after="0" w:line="214" w:lineRule="exact"/>
        <w:rPr>
          <w:sz w:val="20"/>
          <w:szCs w:val="20"/>
          <w:color w:val="auto"/>
        </w:rPr>
      </w:pPr>
    </w:p>
    <w:p>
      <w:pPr>
        <w:ind w:firstLine="656"/>
        <w:spacing w:after="0" w:line="269" w:lineRule="auto"/>
        <w:tabs>
          <w:tab w:leader="none" w:pos="1296" w:val="left"/>
        </w:tabs>
        <w:numPr>
          <w:ilvl w:val="0"/>
          <w:numId w:val="269"/>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Plan Document</w:t>
      </w:r>
      <w:r>
        <w:rPr>
          <w:rFonts w:ascii="Arial" w:cs="Arial" w:eastAsia="Arial" w:hAnsi="Arial"/>
          <w:sz w:val="22"/>
          <w:szCs w:val="22"/>
          <w:color w:val="auto"/>
        </w:rPr>
        <w:t>. Your RSU Award is subject to all the provisions of the Plan, including but not</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to the provisions in:</w:t>
      </w:r>
    </w:p>
    <w:p>
      <w:pPr>
        <w:spacing w:after="0" w:line="167" w:lineRule="exact"/>
        <w:rPr>
          <w:rFonts w:ascii="Arial" w:cs="Arial" w:eastAsia="Arial" w:hAnsi="Arial"/>
          <w:sz w:val="22"/>
          <w:szCs w:val="22"/>
          <w:b w:val="1"/>
          <w:bCs w:val="1"/>
          <w:color w:val="auto"/>
        </w:rPr>
      </w:pPr>
    </w:p>
    <w:p>
      <w:pPr>
        <w:ind w:right="20" w:firstLine="1304"/>
        <w:spacing w:after="0" w:line="263" w:lineRule="auto"/>
        <w:tabs>
          <w:tab w:leader="none" w:pos="1939" w:val="left"/>
        </w:tabs>
        <w:numPr>
          <w:ilvl w:val="1"/>
          <w:numId w:val="269"/>
        </w:numPr>
        <w:rPr>
          <w:rFonts w:ascii="Arial" w:cs="Arial" w:eastAsia="Arial" w:hAnsi="Arial"/>
          <w:sz w:val="22"/>
          <w:szCs w:val="22"/>
          <w:b w:val="1"/>
          <w:bCs w:val="1"/>
          <w:color w:val="auto"/>
        </w:rPr>
      </w:pPr>
      <w:r>
        <w:rPr>
          <w:rFonts w:ascii="Arial" w:cs="Arial" w:eastAsia="Arial" w:hAnsi="Arial"/>
          <w:sz w:val="22"/>
          <w:szCs w:val="22"/>
          <w:color w:val="auto"/>
        </w:rPr>
        <w:t>Section 6 of the Plan regarding the impact of a Capitalization Adjustment, dissolution, liquidation, or Corporate Transaction on your RSU Award;</w:t>
      </w:r>
    </w:p>
    <w:p>
      <w:pPr>
        <w:spacing w:after="0" w:line="174" w:lineRule="exact"/>
        <w:rPr>
          <w:rFonts w:ascii="Arial" w:cs="Arial" w:eastAsia="Arial" w:hAnsi="Arial"/>
          <w:sz w:val="22"/>
          <w:szCs w:val="22"/>
          <w:b w:val="1"/>
          <w:bCs w:val="1"/>
          <w:color w:val="auto"/>
        </w:rPr>
      </w:pPr>
    </w:p>
    <w:p>
      <w:pPr>
        <w:ind w:firstLine="1304"/>
        <w:spacing w:after="0" w:line="263" w:lineRule="auto"/>
        <w:tabs>
          <w:tab w:leader="none" w:pos="1938" w:val="left"/>
        </w:tabs>
        <w:numPr>
          <w:ilvl w:val="1"/>
          <w:numId w:val="269"/>
        </w:numPr>
        <w:rPr>
          <w:rFonts w:ascii="Arial" w:cs="Arial" w:eastAsia="Arial" w:hAnsi="Arial"/>
          <w:sz w:val="22"/>
          <w:szCs w:val="22"/>
          <w:b w:val="1"/>
          <w:bCs w:val="1"/>
          <w:color w:val="auto"/>
        </w:rPr>
      </w:pPr>
      <w:r>
        <w:rPr>
          <w:rFonts w:ascii="Arial" w:cs="Arial" w:eastAsia="Arial" w:hAnsi="Arial"/>
          <w:sz w:val="22"/>
          <w:szCs w:val="22"/>
          <w:color w:val="auto"/>
        </w:rPr>
        <w:t>Section 9(e) of the Plan regarding the Company’s retained rights to terminate your Continuous Service notwithstanding the grant of the RSU Award; and</w:t>
      </w:r>
    </w:p>
    <w:p>
      <w:pPr>
        <w:spacing w:after="0" w:line="174" w:lineRule="exact"/>
        <w:rPr>
          <w:rFonts w:ascii="Arial" w:cs="Arial" w:eastAsia="Arial" w:hAnsi="Arial"/>
          <w:sz w:val="22"/>
          <w:szCs w:val="22"/>
          <w:b w:val="1"/>
          <w:bCs w:val="1"/>
          <w:color w:val="auto"/>
        </w:rPr>
      </w:pPr>
    </w:p>
    <w:p>
      <w:pPr>
        <w:ind w:left="1940" w:hanging="636"/>
        <w:spacing w:after="0"/>
        <w:tabs>
          <w:tab w:leader="none" w:pos="1940" w:val="left"/>
        </w:tabs>
        <w:numPr>
          <w:ilvl w:val="1"/>
          <w:numId w:val="269"/>
        </w:numPr>
        <w:rPr>
          <w:rFonts w:ascii="Arial" w:cs="Arial" w:eastAsia="Arial" w:hAnsi="Arial"/>
          <w:sz w:val="22"/>
          <w:szCs w:val="22"/>
          <w:b w:val="1"/>
          <w:bCs w:val="1"/>
          <w:color w:val="auto"/>
        </w:rPr>
      </w:pPr>
      <w:r>
        <w:rPr>
          <w:rFonts w:ascii="Arial" w:cs="Arial" w:eastAsia="Arial" w:hAnsi="Arial"/>
          <w:sz w:val="22"/>
          <w:szCs w:val="22"/>
          <w:color w:val="auto"/>
        </w:rPr>
        <w:t>Section 8 of the Plan regarding the tax consequences of your RSU Award.</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79" w:lineRule="exact"/>
        <w:rPr>
          <w:sz w:val="20"/>
          <w:szCs w:val="20"/>
          <w:color w:val="auto"/>
        </w:rPr>
      </w:pPr>
    </w:p>
    <w:p>
      <w:pPr>
        <w:jc w:val="both"/>
        <w:ind w:firstLine="656"/>
        <w:spacing w:after="0" w:line="261" w:lineRule="auto"/>
        <w:tabs>
          <w:tab w:leader="none" w:pos="1296" w:val="left"/>
        </w:tabs>
        <w:numPr>
          <w:ilvl w:val="0"/>
          <w:numId w:val="270"/>
        </w:numPr>
        <w:rPr>
          <w:rFonts w:ascii="Arial" w:cs="Arial" w:eastAsia="Arial" w:hAnsi="Arial"/>
          <w:sz w:val="21"/>
          <w:szCs w:val="21"/>
          <w:b w:val="1"/>
          <w:bCs w:val="1"/>
          <w:color w:val="auto"/>
        </w:rPr>
      </w:pPr>
      <w:r>
        <w:rPr>
          <w:rFonts w:ascii="Arial" w:cs="Arial" w:eastAsia="Arial" w:hAnsi="Arial"/>
          <w:sz w:val="21"/>
          <w:szCs w:val="21"/>
          <w:b w:val="1"/>
          <w:bCs w:val="1"/>
          <w:color w:val="auto"/>
        </w:rPr>
        <w:t>Grant of the RSU Award</w:t>
      </w:r>
      <w:r>
        <w:rPr>
          <w:rFonts w:ascii="Arial" w:cs="Arial" w:eastAsia="Arial" w:hAnsi="Arial"/>
          <w:sz w:val="21"/>
          <w:szCs w:val="21"/>
          <w:color w:val="auto"/>
        </w:rPr>
        <w:t>. This RSU Award represents your right to be issued on a future date the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Arial" w:cs="Arial" w:eastAsia="Arial" w:hAnsi="Arial"/>
          <w:sz w:val="21"/>
          <w:szCs w:val="21"/>
          <w:b w:val="1"/>
          <w:bCs w:val="1"/>
          <w:i w:val="1"/>
          <w:iCs w:val="1"/>
          <w:color w:val="auto"/>
        </w:rPr>
        <w:t>Restricted Stock Units</w:t>
      </w:r>
      <w:r>
        <w:rPr>
          <w:rFonts w:ascii="Arial" w:cs="Arial" w:eastAsia="Arial" w:hAnsi="Arial"/>
          <w:sz w:val="21"/>
          <w:szCs w:val="21"/>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73" w:lineRule="exact"/>
        <w:rPr>
          <w:rFonts w:ascii="Arial" w:cs="Arial" w:eastAsia="Arial" w:hAnsi="Arial"/>
          <w:sz w:val="21"/>
          <w:szCs w:val="21"/>
          <w:b w:val="1"/>
          <w:bCs w:val="1"/>
          <w:color w:val="auto"/>
        </w:rPr>
      </w:pPr>
    </w:p>
    <w:p>
      <w:pPr>
        <w:jc w:val="both"/>
        <w:ind w:firstLine="656"/>
        <w:spacing w:after="0" w:line="256" w:lineRule="auto"/>
        <w:tabs>
          <w:tab w:leader="none" w:pos="1296" w:val="left"/>
        </w:tabs>
        <w:numPr>
          <w:ilvl w:val="0"/>
          <w:numId w:val="270"/>
        </w:numPr>
        <w:rPr>
          <w:rFonts w:ascii="Arial" w:cs="Arial" w:eastAsia="Arial" w:hAnsi="Arial"/>
          <w:sz w:val="22"/>
          <w:szCs w:val="22"/>
          <w:b w:val="1"/>
          <w:bCs w:val="1"/>
          <w:color w:val="auto"/>
        </w:rPr>
      </w:pPr>
      <w:r>
        <w:rPr>
          <w:rFonts w:ascii="Arial" w:cs="Arial" w:eastAsia="Arial" w:hAnsi="Arial"/>
          <w:sz w:val="22"/>
          <w:szCs w:val="22"/>
          <w:b w:val="1"/>
          <w:bCs w:val="1"/>
          <w:color w:val="auto"/>
        </w:rPr>
        <w:t>Dividends</w:t>
      </w:r>
      <w:r>
        <w:rPr>
          <w:rFonts w:ascii="Arial" w:cs="Arial" w:eastAsia="Arial" w:hAnsi="Arial"/>
          <w:sz w:val="22"/>
          <w:szCs w:val="22"/>
          <w:color w:val="auto"/>
        </w:rPr>
        <w:t>. You shall receive no benefit or adjustment to your RSU Award with respect to any cash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stock dividend or other distribution that does not result from a Capitalization Adjustment as provided in the Plan;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sentence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263" w:lineRule="auto"/>
        <w:rPr>
          <w:sz w:val="20"/>
          <w:szCs w:val="20"/>
          <w:color w:val="auto"/>
        </w:rPr>
      </w:pPr>
      <w:r>
        <w:rPr>
          <w:rFonts w:ascii="Arial" w:cs="Arial" w:eastAsia="Arial" w:hAnsi="Arial"/>
          <w:sz w:val="22"/>
          <w:szCs w:val="22"/>
          <w:color w:val="auto"/>
        </w:rPr>
        <w:t>apply with respect to any shares of Common Stock that are delivered to you in connection with your RSU Award after such shares have been delivered to you.</w:t>
      </w:r>
    </w:p>
    <w:p>
      <w:pPr>
        <w:spacing w:after="0" w:line="169" w:lineRule="exact"/>
        <w:rPr>
          <w:sz w:val="20"/>
          <w:szCs w:val="20"/>
          <w:color w:val="auto"/>
        </w:rPr>
      </w:pPr>
    </w:p>
    <w:p>
      <w:pPr>
        <w:jc w:val="both"/>
        <w:ind w:firstLine="656"/>
        <w:spacing w:after="0" w:line="259" w:lineRule="auto"/>
        <w:tabs>
          <w:tab w:leader="none" w:pos="1296" w:val="left"/>
        </w:tabs>
        <w:numPr>
          <w:ilvl w:val="0"/>
          <w:numId w:val="271"/>
        </w:numPr>
        <w:rPr>
          <w:rFonts w:ascii="Arial" w:cs="Arial" w:eastAsia="Arial" w:hAnsi="Arial"/>
          <w:sz w:val="21"/>
          <w:szCs w:val="21"/>
          <w:b w:val="1"/>
          <w:bCs w:val="1"/>
          <w:color w:val="auto"/>
        </w:rPr>
      </w:pPr>
      <w:r>
        <w:rPr>
          <w:rFonts w:ascii="Arial" w:cs="Arial" w:eastAsia="Arial" w:hAnsi="Arial"/>
          <w:sz w:val="21"/>
          <w:szCs w:val="21"/>
          <w:b w:val="1"/>
          <w:bCs w:val="1"/>
          <w:color w:val="auto"/>
        </w:rPr>
        <w:t>Withholding Obligations</w:t>
      </w:r>
      <w:r>
        <w:rPr>
          <w:rFonts w:ascii="Arial" w:cs="Arial" w:eastAsia="Arial" w:hAnsi="Arial"/>
          <w:sz w:val="21"/>
          <w:szCs w:val="21"/>
          <w:color w:val="auto"/>
        </w:rPr>
        <w:t>. As further provided in Section 8 of the Plan, you hereby authorize withholding from</w:t>
      </w:r>
      <w:r>
        <w:rPr>
          <w:rFonts w:ascii="Arial" w:cs="Arial" w:eastAsia="Arial" w:hAnsi="Arial"/>
          <w:sz w:val="21"/>
          <w:szCs w:val="21"/>
          <w:b w:val="1"/>
          <w:bCs w:val="1"/>
          <w:color w:val="auto"/>
        </w:rPr>
        <w:t xml:space="preserve"> </w:t>
      </w:r>
      <w:r>
        <w:rPr>
          <w:rFonts w:ascii="Arial" w:cs="Arial" w:eastAsia="Arial" w:hAnsi="Arial"/>
          <w:sz w:val="21"/>
          <w:szCs w:val="21"/>
          <w:color w:val="auto"/>
        </w:rPr>
        <w:t>payroll and any other amounts payable to you, and otherwise agree to make adequate provision for, any sums required to satisfy the federal, state, local and foreign tax withholding obligations, if any, which arise in connection with your RSU Award (the “</w:t>
      </w:r>
      <w:r>
        <w:rPr>
          <w:rFonts w:ascii="Arial" w:cs="Arial" w:eastAsia="Arial" w:hAnsi="Arial"/>
          <w:sz w:val="21"/>
          <w:szCs w:val="21"/>
          <w:b w:val="1"/>
          <w:bCs w:val="1"/>
          <w:i w:val="1"/>
          <w:iCs w:val="1"/>
          <w:color w:val="auto"/>
        </w:rPr>
        <w:t>Withholding Obligation</w:t>
      </w:r>
      <w:r>
        <w:rPr>
          <w:rFonts w:ascii="Arial" w:cs="Arial" w:eastAsia="Arial" w:hAnsi="Arial"/>
          <w:sz w:val="21"/>
          <w:szCs w:val="21"/>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79" w:lineRule="exact"/>
        <w:rPr>
          <w:rFonts w:ascii="Arial" w:cs="Arial" w:eastAsia="Arial" w:hAnsi="Arial"/>
          <w:sz w:val="21"/>
          <w:szCs w:val="21"/>
          <w:b w:val="1"/>
          <w:bCs w:val="1"/>
          <w:color w:val="auto"/>
        </w:rPr>
      </w:pPr>
    </w:p>
    <w:p>
      <w:pPr>
        <w:ind w:left="1300" w:hanging="644"/>
        <w:spacing w:after="0"/>
        <w:tabs>
          <w:tab w:leader="none" w:pos="1300" w:val="left"/>
        </w:tabs>
        <w:numPr>
          <w:ilvl w:val="0"/>
          <w:numId w:val="271"/>
        </w:numPr>
        <w:rPr>
          <w:rFonts w:ascii="Arial" w:cs="Arial" w:eastAsia="Arial" w:hAnsi="Arial"/>
          <w:sz w:val="22"/>
          <w:szCs w:val="22"/>
          <w:b w:val="1"/>
          <w:bCs w:val="1"/>
          <w:color w:val="auto"/>
        </w:rPr>
      </w:pPr>
      <w:r>
        <w:rPr>
          <w:rFonts w:ascii="Arial" w:cs="Arial" w:eastAsia="Arial" w:hAnsi="Arial"/>
          <w:sz w:val="22"/>
          <w:szCs w:val="22"/>
          <w:b w:val="1"/>
          <w:bCs w:val="1"/>
          <w:color w:val="auto"/>
        </w:rPr>
        <w:t>Date of Issuance</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61" w:lineRule="auto"/>
        <w:tabs>
          <w:tab w:leader="none" w:pos="1939" w:val="left"/>
        </w:tabs>
        <w:numPr>
          <w:ilvl w:val="1"/>
          <w:numId w:val="271"/>
        </w:numPr>
        <w:rPr>
          <w:rFonts w:ascii="Arial" w:cs="Arial" w:eastAsia="Arial" w:hAnsi="Arial"/>
          <w:sz w:val="21"/>
          <w:szCs w:val="21"/>
          <w:b w:val="1"/>
          <w:bCs w:val="1"/>
          <w:color w:val="auto"/>
        </w:rPr>
      </w:pPr>
      <w:r>
        <w:rPr>
          <w:rFonts w:ascii="Arial" w:cs="Arial" w:eastAsia="Arial" w:hAnsi="Arial"/>
          <w:sz w:val="21"/>
          <w:szCs w:val="21"/>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21"/>
          <w:szCs w:val="21"/>
          <w:b w:val="1"/>
          <w:bCs w:val="1"/>
          <w:i w:val="1"/>
          <w:iCs w:val="1"/>
          <w:color w:val="auto"/>
        </w:rPr>
        <w:t>Original Issuance Date</w:t>
      </w:r>
      <w:r>
        <w:rPr>
          <w:rFonts w:ascii="Arial" w:cs="Arial" w:eastAsia="Arial" w:hAnsi="Arial"/>
          <w:sz w:val="21"/>
          <w:szCs w:val="21"/>
          <w:color w:val="auto"/>
        </w:rPr>
        <w:t>.”</w:t>
      </w:r>
    </w:p>
    <w:p>
      <w:pPr>
        <w:spacing w:after="0" w:line="179" w:lineRule="exact"/>
        <w:rPr>
          <w:rFonts w:ascii="Arial" w:cs="Arial" w:eastAsia="Arial" w:hAnsi="Arial"/>
          <w:sz w:val="21"/>
          <w:szCs w:val="21"/>
          <w:b w:val="1"/>
          <w:bCs w:val="1"/>
          <w:color w:val="auto"/>
        </w:rPr>
      </w:pPr>
    </w:p>
    <w:p>
      <w:pPr>
        <w:ind w:right="20" w:firstLine="1304"/>
        <w:spacing w:after="0" w:line="263" w:lineRule="auto"/>
        <w:tabs>
          <w:tab w:leader="none" w:pos="1938" w:val="left"/>
        </w:tabs>
        <w:numPr>
          <w:ilvl w:val="1"/>
          <w:numId w:val="271"/>
        </w:numPr>
        <w:rPr>
          <w:rFonts w:ascii="Arial" w:cs="Arial" w:eastAsia="Arial" w:hAnsi="Arial"/>
          <w:sz w:val="22"/>
          <w:szCs w:val="22"/>
          <w:b w:val="1"/>
          <w:bCs w:val="1"/>
          <w:color w:val="auto"/>
        </w:rPr>
      </w:pPr>
      <w:r>
        <w:rPr>
          <w:rFonts w:ascii="Arial" w:cs="Arial" w:eastAsia="Arial" w:hAnsi="Arial"/>
          <w:sz w:val="22"/>
          <w:szCs w:val="22"/>
          <w:color w:val="auto"/>
        </w:rPr>
        <w:t>If the Original Issuance Date falls on a date that is not a business day, delivery shall instead occur on the next following business day.</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In addition, if:</w:t>
      </w:r>
    </w:p>
    <w:p>
      <w:pPr>
        <w:spacing w:after="0" w:line="220" w:lineRule="exact"/>
        <w:rPr>
          <w:sz w:val="20"/>
          <w:szCs w:val="20"/>
          <w:color w:val="auto"/>
        </w:rPr>
      </w:pPr>
    </w:p>
    <w:p>
      <w:pPr>
        <w:jc w:val="both"/>
        <w:ind w:firstLine="1952"/>
        <w:spacing w:after="0" w:line="297" w:lineRule="auto"/>
        <w:tabs>
          <w:tab w:leader="none" w:pos="2580" w:val="left"/>
        </w:tabs>
        <w:numPr>
          <w:ilvl w:val="0"/>
          <w:numId w:val="272"/>
        </w:numPr>
        <w:rPr>
          <w:rFonts w:ascii="Arial" w:cs="Arial" w:eastAsia="Arial" w:hAnsi="Arial"/>
          <w:sz w:val="19"/>
          <w:szCs w:val="19"/>
          <w:b w:val="1"/>
          <w:bCs w:val="1"/>
          <w:color w:val="auto"/>
        </w:rPr>
      </w:pPr>
      <w:r>
        <w:rPr>
          <w:rFonts w:ascii="Arial" w:cs="Arial" w:eastAsia="Arial" w:hAnsi="Arial"/>
          <w:sz w:val="19"/>
          <w:szCs w:val="19"/>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9"/>
          <w:szCs w:val="19"/>
          <w:b w:val="1"/>
          <w:bCs w:val="1"/>
          <w:i w:val="1"/>
          <w:iCs w:val="1"/>
          <w:color w:val="auto"/>
        </w:rPr>
        <w:t>10b5-1 Arrangement</w:t>
      </w:r>
      <w:r>
        <w:rPr>
          <w:rFonts w:ascii="Arial" w:cs="Arial" w:eastAsia="Arial" w:hAnsi="Arial"/>
          <w:sz w:val="19"/>
          <w:szCs w:val="19"/>
          <w:color w:val="auto"/>
        </w:rPr>
        <w:t xml:space="preserve">”)), </w:t>
      </w:r>
      <w:r>
        <w:rPr>
          <w:rFonts w:ascii="Arial" w:cs="Arial" w:eastAsia="Arial" w:hAnsi="Arial"/>
          <w:sz w:val="19"/>
          <w:szCs w:val="19"/>
          <w:i w:val="1"/>
          <w:iCs w:val="1"/>
          <w:color w:val="auto"/>
        </w:rPr>
        <w:t>and</w:t>
      </w:r>
    </w:p>
    <w:p>
      <w:pPr>
        <w:spacing w:after="0" w:line="146" w:lineRule="exact"/>
        <w:rPr>
          <w:rFonts w:ascii="Arial" w:cs="Arial" w:eastAsia="Arial" w:hAnsi="Arial"/>
          <w:sz w:val="19"/>
          <w:szCs w:val="19"/>
          <w:b w:val="1"/>
          <w:bCs w:val="1"/>
          <w:color w:val="auto"/>
        </w:rPr>
      </w:pPr>
    </w:p>
    <w:p>
      <w:pPr>
        <w:jc w:val="both"/>
        <w:ind w:firstLine="1952"/>
        <w:spacing w:after="0" w:line="248" w:lineRule="auto"/>
        <w:tabs>
          <w:tab w:leader="none" w:pos="2586" w:val="left"/>
        </w:tabs>
        <w:numPr>
          <w:ilvl w:val="0"/>
          <w:numId w:val="272"/>
        </w:numPr>
        <w:rPr>
          <w:rFonts w:ascii="Arial" w:cs="Arial" w:eastAsia="Arial" w:hAnsi="Arial"/>
          <w:sz w:val="22"/>
          <w:szCs w:val="22"/>
          <w:b w:val="1"/>
          <w:bCs w:val="1"/>
          <w:color w:val="auto"/>
        </w:rPr>
      </w:pPr>
      <w:r>
        <w:rPr>
          <w:rFonts w:ascii="Arial" w:cs="Arial" w:eastAsia="Arial" w:hAnsi="Arial"/>
          <w:sz w:val="22"/>
          <w:szCs w:val="22"/>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315" w:name="page316"/>
    <w:bookmarkEnd w:id="315"/>
    <w:p>
      <w:pPr>
        <w:jc w:val="both"/>
        <w:ind w:firstLine="1952"/>
        <w:spacing w:after="0" w:line="246" w:lineRule="auto"/>
        <w:tabs>
          <w:tab w:leader="none" w:pos="2592" w:val="left"/>
        </w:tabs>
        <w:numPr>
          <w:ilvl w:val="2"/>
          <w:numId w:val="273"/>
        </w:numPr>
        <w:rPr>
          <w:rFonts w:ascii="Arial" w:cs="Arial" w:eastAsia="Arial" w:hAnsi="Arial"/>
          <w:sz w:val="22"/>
          <w:szCs w:val="22"/>
          <w:b w:val="1"/>
          <w:bCs w:val="1"/>
          <w:color w:val="auto"/>
        </w:rPr>
      </w:pPr>
      <w:r>
        <w:rPr>
          <w:rFonts w:ascii="Arial" w:cs="Arial" w:eastAsia="Arial" w:hAnsi="Arial"/>
          <w:sz w:val="22"/>
          <w:szCs w:val="22"/>
          <w:u w:val="single" w:color="auto"/>
          <w:color w:val="auto"/>
        </w:rPr>
        <w:t>then</w:t>
      </w:r>
      <w:r>
        <w:rPr>
          <w:rFonts w:ascii="Arial" w:cs="Arial" w:eastAsia="Arial" w:hAnsi="Arial"/>
          <w:sz w:val="22"/>
          <w:szCs w:val="22"/>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93" w:lineRule="exact"/>
        <w:rPr>
          <w:rFonts w:ascii="Arial" w:cs="Arial" w:eastAsia="Arial" w:hAnsi="Arial"/>
          <w:sz w:val="22"/>
          <w:szCs w:val="22"/>
          <w:b w:val="1"/>
          <w:bCs w:val="1"/>
          <w:color w:val="auto"/>
        </w:rPr>
      </w:pPr>
    </w:p>
    <w:p>
      <w:pPr>
        <w:jc w:val="both"/>
        <w:ind w:firstLine="1304"/>
        <w:spacing w:after="0" w:line="286" w:lineRule="auto"/>
        <w:tabs>
          <w:tab w:leader="none" w:pos="1941" w:val="left"/>
        </w:tabs>
        <w:numPr>
          <w:ilvl w:val="1"/>
          <w:numId w:val="274"/>
        </w:numPr>
        <w:rPr>
          <w:rFonts w:ascii="Arial" w:cs="Arial" w:eastAsia="Arial" w:hAnsi="Arial"/>
          <w:sz w:val="19"/>
          <w:szCs w:val="19"/>
          <w:b w:val="1"/>
          <w:bCs w:val="1"/>
          <w:color w:val="auto"/>
        </w:rPr>
      </w:pPr>
      <w:r>
        <w:rPr>
          <w:rFonts w:ascii="Arial" w:cs="Arial" w:eastAsia="Arial" w:hAnsi="Arial"/>
          <w:sz w:val="19"/>
          <w:szCs w:val="19"/>
          <w:color w:val="auto"/>
        </w:rPr>
        <w:t>In addition and notwithstanding the foregoing, no shares of Common Stock issuable to you under this Section 5 as a result of the vesting of one or more Restricted Stock Units will be delivered to you until any filings that may be required pursuant to the Hart-Scott-Rodino (“</w:t>
      </w:r>
      <w:r>
        <w:rPr>
          <w:rFonts w:ascii="Arial" w:cs="Arial" w:eastAsia="Arial" w:hAnsi="Arial"/>
          <w:sz w:val="19"/>
          <w:szCs w:val="19"/>
          <w:b w:val="1"/>
          <w:bCs w:val="1"/>
          <w:i w:val="1"/>
          <w:iCs w:val="1"/>
          <w:color w:val="auto"/>
        </w:rPr>
        <w:t>HSR</w:t>
      </w:r>
      <w:r>
        <w:rPr>
          <w:rFonts w:ascii="Arial" w:cs="Arial" w:eastAsia="Arial" w:hAnsi="Arial"/>
          <w:sz w:val="19"/>
          <w:szCs w:val="19"/>
          <w:color w:val="auto"/>
        </w:rPr>
        <w:t>”) Act in connection with the issuance of such shares have been filed and any required waiting period under the HSR Act has expired or been terminated (any such filings and/or waiting period required pursuant to HSR, the “</w:t>
      </w:r>
      <w:r>
        <w:rPr>
          <w:rFonts w:ascii="Arial" w:cs="Arial" w:eastAsia="Arial" w:hAnsi="Arial"/>
          <w:sz w:val="19"/>
          <w:szCs w:val="19"/>
          <w:b w:val="1"/>
          <w:bCs w:val="1"/>
          <w:i w:val="1"/>
          <w:iCs w:val="1"/>
          <w:color w:val="auto"/>
        </w:rPr>
        <w:t>HSR Requirements</w:t>
      </w:r>
      <w:r>
        <w:rPr>
          <w:rFonts w:ascii="Arial" w:cs="Arial" w:eastAsia="Arial" w:hAnsi="Arial"/>
          <w:sz w:val="19"/>
          <w:szCs w:val="19"/>
          <w:color w:val="auto"/>
        </w:rPr>
        <w:t>”). If the HSR Requirements apply to the issuance of any shares of Common Stock issuable to you under this Section 5 upon vesting of one or more Restricted Stock Units, such shares of Common Stock will not be issued on the Original Issuance Date and will instead be issued on the first business day on or following the date when all such HSR Requirements are satisfied and when you are permitted to sell shares of Common Stock on an established stock exchange or stock market, as determined by the Company in accordance with the Company’s then-effective policy on trading in Company securities. Notwithstanding the foregoing, the issuance date for any shares of Common Stock delayed under this Section 5(c) shall in no event be later than December 31 of the calendar year in which the Original Issuance Date occurs (that is, the last day of your taxable year in which the Original Issuance Date occurs), unless a later issuance date is permitted without incurring adverse tax consequences under Section 409A of the Code or other Applicable Law.</w:t>
      </w:r>
    </w:p>
    <w:p>
      <w:pPr>
        <w:spacing w:after="0" w:line="165" w:lineRule="exact"/>
        <w:rPr>
          <w:rFonts w:ascii="Arial" w:cs="Arial" w:eastAsia="Arial" w:hAnsi="Arial"/>
          <w:sz w:val="19"/>
          <w:szCs w:val="19"/>
          <w:b w:val="1"/>
          <w:bCs w:val="1"/>
          <w:color w:val="auto"/>
        </w:rPr>
      </w:pPr>
    </w:p>
    <w:p>
      <w:pPr>
        <w:ind w:left="1940" w:hanging="636"/>
        <w:spacing w:after="0"/>
        <w:tabs>
          <w:tab w:leader="none" w:pos="1940" w:val="left"/>
        </w:tabs>
        <w:numPr>
          <w:ilvl w:val="1"/>
          <w:numId w:val="274"/>
        </w:numPr>
        <w:rPr>
          <w:rFonts w:ascii="Arial" w:cs="Arial" w:eastAsia="Arial" w:hAnsi="Arial"/>
          <w:sz w:val="19"/>
          <w:szCs w:val="19"/>
          <w:b w:val="1"/>
          <w:bCs w:val="1"/>
          <w:color w:val="auto"/>
        </w:rPr>
      </w:pPr>
      <w:r>
        <w:rPr>
          <w:rFonts w:ascii="Arial" w:cs="Arial" w:eastAsia="Arial" w:hAnsi="Arial"/>
          <w:sz w:val="19"/>
          <w:szCs w:val="19"/>
          <w:color w:val="auto"/>
        </w:rPr>
        <w:t>To the extent the RSU Award is a Non-Exempt RSU Award, the provisions of Section 11 of the Plan shall</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apply.</w:t>
      </w:r>
    </w:p>
    <w:p>
      <w:pPr>
        <w:spacing w:after="0" w:line="195" w:lineRule="exact"/>
        <w:rPr>
          <w:rFonts w:ascii="Arial" w:cs="Arial" w:eastAsia="Arial" w:hAnsi="Arial"/>
          <w:sz w:val="19"/>
          <w:szCs w:val="19"/>
          <w:b w:val="1"/>
          <w:bCs w:val="1"/>
          <w:color w:val="auto"/>
        </w:rPr>
      </w:pPr>
    </w:p>
    <w:p>
      <w:pPr>
        <w:ind w:right="20" w:firstLine="656"/>
        <w:spacing w:after="0" w:line="269" w:lineRule="auto"/>
        <w:tabs>
          <w:tab w:leader="none" w:pos="1296" w:val="left"/>
        </w:tabs>
        <w:numPr>
          <w:ilvl w:val="0"/>
          <w:numId w:val="275"/>
        </w:numPr>
        <w:rPr>
          <w:rFonts w:ascii="Arial" w:cs="Arial" w:eastAsia="Arial" w:hAnsi="Arial"/>
          <w:sz w:val="22"/>
          <w:szCs w:val="22"/>
          <w:b w:val="1"/>
          <w:bCs w:val="1"/>
          <w:color w:val="auto"/>
        </w:rPr>
      </w:pPr>
      <w:r>
        <w:rPr>
          <w:rFonts w:ascii="Arial" w:cs="Arial" w:eastAsia="Arial" w:hAnsi="Arial"/>
          <w:sz w:val="22"/>
          <w:szCs w:val="22"/>
          <w:b w:val="1"/>
          <w:bCs w:val="1"/>
          <w:color w:val="auto"/>
        </w:rPr>
        <w:t>Transferability</w:t>
      </w:r>
      <w:r>
        <w:rPr>
          <w:rFonts w:ascii="Arial" w:cs="Arial" w:eastAsia="Arial" w:hAnsi="Arial"/>
          <w:sz w:val="22"/>
          <w:szCs w:val="22"/>
          <w:color w:val="auto"/>
        </w:rPr>
        <w:t>. Except as otherwise provided in the Plan, your RSU Award is not transferable, except by will or</w:t>
      </w:r>
      <w:r>
        <w:rPr>
          <w:rFonts w:ascii="Arial" w:cs="Arial" w:eastAsia="Arial" w:hAnsi="Arial"/>
          <w:sz w:val="22"/>
          <w:szCs w:val="22"/>
          <w:b w:val="1"/>
          <w:bCs w:val="1"/>
          <w:color w:val="auto"/>
        </w:rPr>
        <w:t xml:space="preserve"> </w:t>
      </w:r>
      <w:r>
        <w:rPr>
          <w:rFonts w:ascii="Arial" w:cs="Arial" w:eastAsia="Arial" w:hAnsi="Arial"/>
          <w:sz w:val="22"/>
          <w:szCs w:val="22"/>
          <w:color w:val="auto"/>
        </w:rPr>
        <w:t>by the applicable laws of descent and distribution.</w:t>
      </w:r>
    </w:p>
    <w:p>
      <w:pPr>
        <w:spacing w:after="0" w:line="161" w:lineRule="exact"/>
        <w:rPr>
          <w:rFonts w:ascii="Arial" w:cs="Arial" w:eastAsia="Arial" w:hAnsi="Arial"/>
          <w:sz w:val="22"/>
          <w:szCs w:val="22"/>
          <w:b w:val="1"/>
          <w:bCs w:val="1"/>
          <w:color w:val="auto"/>
        </w:rPr>
      </w:pPr>
    </w:p>
    <w:p>
      <w:pPr>
        <w:jc w:val="both"/>
        <w:ind w:firstLine="656"/>
        <w:spacing w:after="0" w:line="315" w:lineRule="auto"/>
        <w:tabs>
          <w:tab w:leader="none" w:pos="1296" w:val="left"/>
        </w:tabs>
        <w:numPr>
          <w:ilvl w:val="0"/>
          <w:numId w:val="275"/>
        </w:numPr>
        <w:rPr>
          <w:rFonts w:ascii="Arial" w:cs="Arial" w:eastAsia="Arial" w:hAnsi="Arial"/>
          <w:sz w:val="19"/>
          <w:szCs w:val="19"/>
          <w:b w:val="1"/>
          <w:bCs w:val="1"/>
          <w:color w:val="auto"/>
        </w:rPr>
      </w:pPr>
      <w:r>
        <w:rPr>
          <w:rFonts w:ascii="Arial" w:cs="Arial" w:eastAsia="Arial" w:hAnsi="Arial"/>
          <w:sz w:val="19"/>
          <w:szCs w:val="19"/>
          <w:b w:val="1"/>
          <w:bCs w:val="1"/>
          <w:color w:val="auto"/>
        </w:rPr>
        <w:t>Corporate Transaction</w:t>
      </w:r>
      <w:r>
        <w:rPr>
          <w:rFonts w:ascii="Arial" w:cs="Arial" w:eastAsia="Arial" w:hAnsi="Arial"/>
          <w:sz w:val="19"/>
          <w:szCs w:val="19"/>
          <w:color w:val="auto"/>
        </w:rPr>
        <w:t>. Your RSU Award is subject to the terms of any agreement governing a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25" w:lineRule="exact"/>
        <w:rPr>
          <w:rFonts w:ascii="Arial" w:cs="Arial" w:eastAsia="Arial" w:hAnsi="Arial"/>
          <w:sz w:val="19"/>
          <w:szCs w:val="19"/>
          <w:b w:val="1"/>
          <w:bCs w:val="1"/>
          <w:color w:val="auto"/>
        </w:rPr>
      </w:pPr>
    </w:p>
    <w:p>
      <w:pPr>
        <w:jc w:val="both"/>
        <w:ind w:firstLine="656"/>
        <w:spacing w:after="0" w:line="315" w:lineRule="auto"/>
        <w:tabs>
          <w:tab w:leader="none" w:pos="1296" w:val="left"/>
        </w:tabs>
        <w:numPr>
          <w:ilvl w:val="0"/>
          <w:numId w:val="275"/>
        </w:numPr>
        <w:rPr>
          <w:rFonts w:ascii="Arial" w:cs="Arial" w:eastAsia="Arial" w:hAnsi="Arial"/>
          <w:sz w:val="19"/>
          <w:szCs w:val="19"/>
          <w:b w:val="1"/>
          <w:bCs w:val="1"/>
          <w:color w:val="auto"/>
        </w:rPr>
      </w:pPr>
      <w:r>
        <w:rPr>
          <w:rFonts w:ascii="Arial" w:cs="Arial" w:eastAsia="Arial" w:hAnsi="Arial"/>
          <w:sz w:val="19"/>
          <w:szCs w:val="19"/>
          <w:b w:val="1"/>
          <w:bCs w:val="1"/>
          <w:color w:val="auto"/>
        </w:rPr>
        <w:t>No Liability For Taxes</w:t>
      </w:r>
      <w:r>
        <w:rPr>
          <w:rFonts w:ascii="Arial" w:cs="Arial" w:eastAsia="Arial" w:hAnsi="Arial"/>
          <w:sz w:val="19"/>
          <w:szCs w:val="19"/>
          <w:color w:val="auto"/>
        </w:rPr>
        <w:t>. As a condition to accepting the RSU Award, you hereby (a) agree to not make any claim</w:t>
      </w:r>
      <w:r>
        <w:rPr>
          <w:rFonts w:ascii="Arial" w:cs="Arial" w:eastAsia="Arial" w:hAnsi="Arial"/>
          <w:sz w:val="19"/>
          <w:szCs w:val="19"/>
          <w:b w:val="1"/>
          <w:bCs w:val="1"/>
          <w:color w:val="auto"/>
        </w:rPr>
        <w:t xml:space="preserve"> </w:t>
      </w:r>
      <w:r>
        <w:rPr>
          <w:rFonts w:ascii="Arial" w:cs="Arial" w:eastAsia="Arial" w:hAnsi="Arial"/>
          <w:sz w:val="19"/>
          <w:szCs w:val="19"/>
          <w:color w:val="auto"/>
        </w:rPr>
        <w:t>against the Company, or any of its Officers, Directors, Employees or Affiliates related to tax liabilities arising from the RSU Award or other Company compensation and (b) acknowledge that you were advised to consult with your own personal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316" w:name="page317"/>
    <w:bookmarkEnd w:id="316"/>
    <w:p>
      <w:pPr>
        <w:spacing w:after="0" w:line="263" w:lineRule="auto"/>
        <w:rPr>
          <w:sz w:val="20"/>
          <w:szCs w:val="20"/>
          <w:color w:val="auto"/>
        </w:rPr>
      </w:pPr>
      <w:r>
        <w:rPr>
          <w:rFonts w:ascii="Arial" w:cs="Arial" w:eastAsia="Arial" w:hAnsi="Arial"/>
          <w:sz w:val="22"/>
          <w:szCs w:val="22"/>
          <w:color w:val="auto"/>
        </w:rPr>
        <w:t>financial and other legal advisors regarding the tax consequences of the RSU Award and have either done so or knowingly and voluntarily declined to do so.</w:t>
      </w:r>
    </w:p>
    <w:p>
      <w:pPr>
        <w:spacing w:after="0" w:line="169" w:lineRule="exact"/>
        <w:rPr>
          <w:sz w:val="20"/>
          <w:szCs w:val="20"/>
          <w:color w:val="auto"/>
        </w:rPr>
      </w:pPr>
    </w:p>
    <w:p>
      <w:pPr>
        <w:jc w:val="both"/>
        <w:ind w:firstLine="656"/>
        <w:spacing w:after="0" w:line="249" w:lineRule="auto"/>
        <w:tabs>
          <w:tab w:leader="none" w:pos="1296" w:val="left"/>
        </w:tabs>
        <w:numPr>
          <w:ilvl w:val="0"/>
          <w:numId w:val="276"/>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part of this Agreement or the Plan is declared by any court or governmental authority to be</w:t>
      </w:r>
      <w:r>
        <w:rPr>
          <w:rFonts w:ascii="Arial" w:cs="Arial" w:eastAsia="Arial" w:hAnsi="Arial"/>
          <w:sz w:val="22"/>
          <w:szCs w:val="22"/>
          <w:b w:val="1"/>
          <w:bCs w:val="1"/>
          <w:color w:val="auto"/>
        </w:rPr>
        <w:t xml:space="preserve"> </w:t>
      </w:r>
      <w:r>
        <w:rPr>
          <w:rFonts w:ascii="Arial" w:cs="Arial" w:eastAsia="Arial" w:hAnsi="Arial"/>
          <w:sz w:val="22"/>
          <w:szCs w:val="22"/>
          <w:color w:val="auto"/>
        </w:rPr>
        <w:t>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6" w:lineRule="exact"/>
        <w:rPr>
          <w:rFonts w:ascii="Arial" w:cs="Arial" w:eastAsia="Arial" w:hAnsi="Arial"/>
          <w:sz w:val="22"/>
          <w:szCs w:val="22"/>
          <w:b w:val="1"/>
          <w:bCs w:val="1"/>
          <w:color w:val="auto"/>
        </w:rPr>
      </w:pPr>
    </w:p>
    <w:p>
      <w:pPr>
        <w:jc w:val="both"/>
        <w:ind w:firstLine="656"/>
        <w:spacing w:after="0" w:line="252" w:lineRule="auto"/>
        <w:tabs>
          <w:tab w:leader="none" w:pos="1296" w:val="left"/>
        </w:tabs>
        <w:numPr>
          <w:ilvl w:val="0"/>
          <w:numId w:val="276"/>
        </w:numPr>
        <w:rPr>
          <w:rFonts w:ascii="Arial" w:cs="Arial" w:eastAsia="Arial" w:hAnsi="Arial"/>
          <w:sz w:val="22"/>
          <w:szCs w:val="22"/>
          <w:b w:val="1"/>
          <w:bCs w:val="1"/>
          <w:color w:val="auto"/>
        </w:rPr>
      </w:pPr>
      <w:r>
        <w:rPr>
          <w:rFonts w:ascii="Arial" w:cs="Arial" w:eastAsia="Arial" w:hAnsi="Arial"/>
          <w:sz w:val="22"/>
          <w:szCs w:val="22"/>
          <w:b w:val="1"/>
          <w:bCs w:val="1"/>
          <w:color w:val="auto"/>
        </w:rPr>
        <w:t>Other Documents</w:t>
      </w:r>
      <w:r>
        <w:rPr>
          <w:rFonts w:ascii="Arial" w:cs="Arial" w:eastAsia="Arial" w:hAnsi="Arial"/>
          <w:sz w:val="22"/>
          <w:szCs w:val="22"/>
          <w:color w:val="auto"/>
        </w:rPr>
        <w:t>. You hereby acknowledge receipt of or the right to receive a document providing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required by Rule 428(b)(1) promulgated under the Securities Act, which includes the Prospectus. In addition, you acknowledge and agree to be subject to the Company’s Trading Policy, which such Trading Policy has been or will be made available to you.</w:t>
      </w:r>
    </w:p>
    <w:p>
      <w:pPr>
        <w:spacing w:after="0" w:line="179" w:lineRule="exact"/>
        <w:rPr>
          <w:rFonts w:ascii="Arial" w:cs="Arial" w:eastAsia="Arial" w:hAnsi="Arial"/>
          <w:sz w:val="22"/>
          <w:szCs w:val="22"/>
          <w:b w:val="1"/>
          <w:bCs w:val="1"/>
          <w:color w:val="auto"/>
        </w:rPr>
      </w:pPr>
    </w:p>
    <w:p>
      <w:pPr>
        <w:ind w:firstLine="656"/>
        <w:spacing w:after="0" w:line="293" w:lineRule="auto"/>
        <w:tabs>
          <w:tab w:leader="none" w:pos="1284" w:val="left"/>
        </w:tabs>
        <w:numPr>
          <w:ilvl w:val="0"/>
          <w:numId w:val="276"/>
        </w:numPr>
        <w:rPr>
          <w:rFonts w:ascii="Arial" w:cs="Arial" w:eastAsia="Arial" w:hAnsi="Arial"/>
          <w:sz w:val="21"/>
          <w:szCs w:val="21"/>
          <w:b w:val="1"/>
          <w:bCs w:val="1"/>
          <w:color w:val="auto"/>
        </w:rPr>
      </w:pPr>
      <w:r>
        <w:rPr>
          <w:rFonts w:ascii="Arial" w:cs="Arial" w:eastAsia="Arial" w:hAnsi="Arial"/>
          <w:sz w:val="21"/>
          <w:szCs w:val="21"/>
          <w:b w:val="1"/>
          <w:bCs w:val="1"/>
          <w:color w:val="auto"/>
        </w:rPr>
        <w:t>Questions</w:t>
      </w:r>
      <w:r>
        <w:rPr>
          <w:rFonts w:ascii="Arial" w:cs="Arial" w:eastAsia="Arial" w:hAnsi="Arial"/>
          <w:sz w:val="21"/>
          <w:szCs w:val="21"/>
          <w:color w:val="auto"/>
        </w:rPr>
        <w:t>. If you have questions regarding these or any other terms and conditions applicable to your RSU</w:t>
      </w:r>
      <w:r>
        <w:rPr>
          <w:rFonts w:ascii="Arial" w:cs="Arial" w:eastAsia="Arial" w:hAnsi="Arial"/>
          <w:sz w:val="21"/>
          <w:szCs w:val="21"/>
          <w:b w:val="1"/>
          <w:bCs w:val="1"/>
          <w:color w:val="auto"/>
        </w:rPr>
        <w:t xml:space="preserve"> </w:t>
      </w:r>
      <w:r>
        <w:rPr>
          <w:rFonts w:ascii="Arial" w:cs="Arial" w:eastAsia="Arial" w:hAnsi="Arial"/>
          <w:sz w:val="21"/>
          <w:szCs w:val="21"/>
          <w:color w:val="auto"/>
        </w:rPr>
        <w:t>Award, including a summary of the applicable federal income tax consequences please see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317" w:name="page318"/>
    <w:bookmarkEnd w:id="317"/>
    <w:p>
      <w:pPr>
        <w:jc w:val="center"/>
        <w:spacing w:after="0"/>
        <w:rPr>
          <w:sz w:val="20"/>
          <w:szCs w:val="20"/>
          <w:color w:val="auto"/>
        </w:rPr>
      </w:pPr>
      <w:r>
        <w:rPr>
          <w:rFonts w:ascii="Arial" w:cs="Arial" w:eastAsia="Arial" w:hAnsi="Arial"/>
          <w:sz w:val="25"/>
          <w:szCs w:val="25"/>
          <w:b w:val="1"/>
          <w:bCs w:val="1"/>
          <w:color w:val="auto"/>
        </w:rPr>
        <w:t>Attachment II</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2021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019"/>
          </w:cols>
          <w:pgMar w:left="1440" w:top="1413" w:right="1440"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NerdWallet,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Employee Stock Purchase Plan</w:t>
      </w:r>
    </w:p>
    <w:p>
      <w:pPr>
        <w:spacing w:after="0" w:line="220"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Adopted by the Board of Directors: [______] 2021</w:t>
      </w:r>
    </w:p>
    <w:p>
      <w:pPr>
        <w:spacing w:after="0" w:line="58"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Approved by the Stockholders: [______] 2021</w:t>
      </w:r>
    </w:p>
    <w:p>
      <w:pPr>
        <w:spacing w:after="0" w:line="211" w:lineRule="exact"/>
        <w:rPr>
          <w:sz w:val="20"/>
          <w:szCs w:val="20"/>
          <w:color w:val="auto"/>
        </w:rPr>
      </w:pPr>
    </w:p>
    <w:p>
      <w:pPr>
        <w:ind w:left="360" w:hanging="352"/>
        <w:spacing w:after="0"/>
        <w:tabs>
          <w:tab w:leader="none" w:pos="360" w:val="left"/>
        </w:tabs>
        <w:numPr>
          <w:ilvl w:val="0"/>
          <w:numId w:val="277"/>
        </w:numPr>
        <w:rPr>
          <w:rFonts w:ascii="Arial" w:cs="Arial" w:eastAsia="Arial" w:hAnsi="Arial"/>
          <w:sz w:val="20"/>
          <w:szCs w:val="20"/>
          <w:b w:val="1"/>
          <w:bCs w:val="1"/>
          <w:color w:val="auto"/>
        </w:rPr>
      </w:pPr>
      <w:r>
        <w:rPr>
          <w:rFonts w:ascii="Arial" w:cs="Arial" w:eastAsia="Arial" w:hAnsi="Arial"/>
          <w:sz w:val="20"/>
          <w:szCs w:val="20"/>
          <w:b w:val="1"/>
          <w:bCs w:val="1"/>
          <w:color w:val="auto"/>
        </w:rPr>
        <w:t>General; Purpose</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656"/>
        <w:spacing w:after="0" w:line="250" w:lineRule="auto"/>
        <w:tabs>
          <w:tab w:leader="none" w:pos="1090" w:val="left"/>
        </w:tabs>
        <w:numPr>
          <w:ilvl w:val="1"/>
          <w:numId w:val="277"/>
        </w:numPr>
        <w:rPr>
          <w:rFonts w:ascii="Arial" w:cs="Arial" w:eastAsia="Arial" w:hAnsi="Arial"/>
          <w:sz w:val="20"/>
          <w:szCs w:val="20"/>
          <w:b w:val="1"/>
          <w:bCs w:val="1"/>
          <w:color w:val="auto"/>
        </w:rPr>
      </w:pPr>
      <w:r>
        <w:rPr>
          <w:rFonts w:ascii="Arial" w:cs="Arial" w:eastAsia="Arial" w:hAnsi="Arial"/>
          <w:sz w:val="20"/>
          <w:szCs w:val="20"/>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w:t>
      </w:r>
    </w:p>
    <w:p>
      <w:pPr>
        <w:spacing w:after="0" w:line="185" w:lineRule="exact"/>
        <w:rPr>
          <w:rFonts w:ascii="Arial" w:cs="Arial" w:eastAsia="Arial" w:hAnsi="Arial"/>
          <w:sz w:val="20"/>
          <w:szCs w:val="20"/>
          <w:b w:val="1"/>
          <w:bCs w:val="1"/>
          <w:color w:val="auto"/>
        </w:rPr>
      </w:pPr>
    </w:p>
    <w:p>
      <w:pPr>
        <w:jc w:val="both"/>
        <w:ind w:firstLine="656"/>
        <w:spacing w:after="0" w:line="385" w:lineRule="auto"/>
        <w:tabs>
          <w:tab w:leader="none" w:pos="1128" w:val="left"/>
        </w:tabs>
        <w:numPr>
          <w:ilvl w:val="1"/>
          <w:numId w:val="277"/>
        </w:numPr>
        <w:rPr>
          <w:rFonts w:ascii="Arial" w:cs="Arial" w:eastAsia="Arial" w:hAnsi="Arial"/>
          <w:sz w:val="16"/>
          <w:szCs w:val="16"/>
          <w:b w:val="1"/>
          <w:bCs w:val="1"/>
          <w:color w:val="auto"/>
        </w:rPr>
      </w:pPr>
      <w:r>
        <w:rPr>
          <w:rFonts w:ascii="Arial" w:cs="Arial" w:eastAsia="Arial" w:hAnsi="Arial"/>
          <w:sz w:val="16"/>
          <w:szCs w:val="16"/>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78" w:lineRule="exact"/>
        <w:rPr>
          <w:rFonts w:ascii="Arial" w:cs="Arial" w:eastAsia="Arial" w:hAnsi="Arial"/>
          <w:sz w:val="16"/>
          <w:szCs w:val="16"/>
          <w:b w:val="1"/>
          <w:bCs w:val="1"/>
          <w:color w:val="auto"/>
        </w:rPr>
      </w:pPr>
    </w:p>
    <w:p>
      <w:pPr>
        <w:ind w:left="340" w:hanging="332"/>
        <w:spacing w:after="0"/>
        <w:tabs>
          <w:tab w:leader="none" w:pos="340" w:val="left"/>
        </w:tabs>
        <w:numPr>
          <w:ilvl w:val="0"/>
          <w:numId w:val="277"/>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Administration</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firstLine="656"/>
        <w:spacing w:after="0" w:line="260" w:lineRule="auto"/>
        <w:tabs>
          <w:tab w:leader="none" w:pos="1225" w:val="left"/>
        </w:tabs>
        <w:numPr>
          <w:ilvl w:val="1"/>
          <w:numId w:val="277"/>
        </w:numPr>
        <w:rPr>
          <w:rFonts w:ascii="Arial" w:cs="Arial" w:eastAsia="Arial" w:hAnsi="Arial"/>
          <w:sz w:val="20"/>
          <w:szCs w:val="20"/>
          <w:b w:val="1"/>
          <w:bCs w:val="1"/>
          <w:color w:val="auto"/>
        </w:rPr>
      </w:pPr>
      <w:r>
        <w:rPr>
          <w:rFonts w:ascii="Arial" w:cs="Arial" w:eastAsia="Arial" w:hAnsi="Arial"/>
          <w:sz w:val="20"/>
          <w:szCs w:val="20"/>
          <w:color w:val="auto"/>
        </w:rPr>
        <w:t>The Board will administer the Plan unless and until the Board delegates administration of the Plan to a Committee or Committees, as provided in Section 2(c).</w:t>
      </w:r>
    </w:p>
    <w:p>
      <w:pPr>
        <w:spacing w:after="0" w:line="176" w:lineRule="exact"/>
        <w:rPr>
          <w:rFonts w:ascii="Arial" w:cs="Arial" w:eastAsia="Arial" w:hAnsi="Arial"/>
          <w:sz w:val="20"/>
          <w:szCs w:val="20"/>
          <w:b w:val="1"/>
          <w:bCs w:val="1"/>
          <w:color w:val="auto"/>
        </w:rPr>
      </w:pPr>
    </w:p>
    <w:p>
      <w:pPr>
        <w:ind w:left="1100" w:hanging="444"/>
        <w:spacing w:after="0"/>
        <w:tabs>
          <w:tab w:leader="none" w:pos="1100" w:val="left"/>
        </w:tabs>
        <w:numPr>
          <w:ilvl w:val="1"/>
          <w:numId w:val="277"/>
        </w:numPr>
        <w:rPr>
          <w:rFonts w:ascii="Arial" w:cs="Arial" w:eastAsia="Arial" w:hAnsi="Arial"/>
          <w:sz w:val="20"/>
          <w:szCs w:val="20"/>
          <w:b w:val="1"/>
          <w:bCs w:val="1"/>
          <w:color w:val="auto"/>
        </w:rPr>
      </w:pPr>
      <w:r>
        <w:rPr>
          <w:rFonts w:ascii="Arial" w:cs="Arial" w:eastAsia="Arial" w:hAnsi="Arial"/>
          <w:sz w:val="20"/>
          <w:szCs w:val="20"/>
          <w:color w:val="auto"/>
        </w:rPr>
        <w:t>The Board will have the power, subject to, and within the limitations of, the express provisions of the Plan:</w:t>
      </w:r>
    </w:p>
    <w:p>
      <w:pPr>
        <w:spacing w:after="0" w:line="215" w:lineRule="exact"/>
        <w:rPr>
          <w:rFonts w:ascii="Arial" w:cs="Arial" w:eastAsia="Arial" w:hAnsi="Arial"/>
          <w:sz w:val="20"/>
          <w:szCs w:val="20"/>
          <w:b w:val="1"/>
          <w:bCs w:val="1"/>
          <w:color w:val="auto"/>
        </w:rPr>
      </w:pPr>
    </w:p>
    <w:p>
      <w:pPr>
        <w:ind w:left="1740" w:hanging="436"/>
        <w:spacing w:after="0"/>
        <w:tabs>
          <w:tab w:leader="none" w:pos="1740" w:val="left"/>
        </w:tabs>
        <w:numPr>
          <w:ilvl w:val="2"/>
          <w:numId w:val="277"/>
        </w:numPr>
        <w:rPr>
          <w:rFonts w:ascii="Arial" w:cs="Arial" w:eastAsia="Arial" w:hAnsi="Arial"/>
          <w:sz w:val="18"/>
          <w:szCs w:val="18"/>
          <w:b w:val="1"/>
          <w:bCs w:val="1"/>
          <w:color w:val="auto"/>
        </w:rPr>
      </w:pPr>
      <w:r>
        <w:rPr>
          <w:rFonts w:ascii="Arial" w:cs="Arial" w:eastAsia="Arial" w:hAnsi="Arial"/>
          <w:sz w:val="18"/>
          <w:szCs w:val="18"/>
          <w:color w:val="auto"/>
        </w:rPr>
        <w:t>To determine how and when Purchase Rights will be granted and the provisions of each Offering (which need not be</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identical).</w:t>
      </w:r>
    </w:p>
    <w:p>
      <w:pPr>
        <w:spacing w:after="0" w:line="199" w:lineRule="exact"/>
        <w:rPr>
          <w:rFonts w:ascii="Arial" w:cs="Arial" w:eastAsia="Arial" w:hAnsi="Arial"/>
          <w:sz w:val="18"/>
          <w:szCs w:val="18"/>
          <w:b w:val="1"/>
          <w:bCs w:val="1"/>
          <w:color w:val="auto"/>
        </w:rPr>
      </w:pPr>
    </w:p>
    <w:p>
      <w:pPr>
        <w:ind w:left="1740" w:hanging="436"/>
        <w:spacing w:after="0"/>
        <w:tabs>
          <w:tab w:leader="none" w:pos="1740" w:val="left"/>
        </w:tabs>
        <w:numPr>
          <w:ilvl w:val="2"/>
          <w:numId w:val="277"/>
        </w:numPr>
        <w:rPr>
          <w:rFonts w:ascii="Arial" w:cs="Arial" w:eastAsia="Arial" w:hAnsi="Arial"/>
          <w:sz w:val="18"/>
          <w:szCs w:val="18"/>
          <w:b w:val="1"/>
          <w:bCs w:val="1"/>
          <w:color w:val="auto"/>
        </w:rPr>
      </w:pPr>
      <w:r>
        <w:rPr>
          <w:rFonts w:ascii="Arial" w:cs="Arial" w:eastAsia="Arial" w:hAnsi="Arial"/>
          <w:sz w:val="18"/>
          <w:szCs w:val="18"/>
          <w:color w:val="auto"/>
        </w:rPr>
        <w:t>To designate from time to time which Related Corporations of the Company will be eligible to participate in the Plan.</w:t>
      </w:r>
    </w:p>
    <w:p>
      <w:pPr>
        <w:spacing w:after="0" w:line="238" w:lineRule="exact"/>
        <w:rPr>
          <w:rFonts w:ascii="Arial" w:cs="Arial" w:eastAsia="Arial" w:hAnsi="Arial"/>
          <w:sz w:val="18"/>
          <w:szCs w:val="18"/>
          <w:b w:val="1"/>
          <w:bCs w:val="1"/>
          <w:color w:val="auto"/>
        </w:rPr>
      </w:pPr>
    </w:p>
    <w:p>
      <w:pPr>
        <w:jc w:val="both"/>
        <w:ind w:firstLine="1304"/>
        <w:spacing w:after="0" w:line="250" w:lineRule="auto"/>
        <w:tabs>
          <w:tab w:leader="none" w:pos="1790" w:val="left"/>
        </w:tabs>
        <w:numPr>
          <w:ilvl w:val="2"/>
          <w:numId w:val="277"/>
        </w:numPr>
        <w:rPr>
          <w:rFonts w:ascii="Arial" w:cs="Arial" w:eastAsia="Arial" w:hAnsi="Arial"/>
          <w:sz w:val="20"/>
          <w:szCs w:val="20"/>
          <w:b w:val="1"/>
          <w:bCs w:val="1"/>
          <w:color w:val="auto"/>
        </w:rPr>
      </w:pPr>
      <w:r>
        <w:rPr>
          <w:rFonts w:ascii="Arial" w:cs="Arial" w:eastAsia="Arial" w:hAnsi="Arial"/>
          <w:sz w:val="20"/>
          <w:szCs w:val="20"/>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85" w:lineRule="exact"/>
        <w:rPr>
          <w:rFonts w:ascii="Arial" w:cs="Arial" w:eastAsia="Arial" w:hAnsi="Arial"/>
          <w:sz w:val="20"/>
          <w:szCs w:val="20"/>
          <w:b w:val="1"/>
          <w:bCs w:val="1"/>
          <w:color w:val="auto"/>
        </w:rPr>
      </w:pPr>
    </w:p>
    <w:p>
      <w:pPr>
        <w:ind w:left="1780" w:hanging="476"/>
        <w:spacing w:after="0"/>
        <w:tabs>
          <w:tab w:leader="none" w:pos="1780" w:val="left"/>
        </w:tabs>
        <w:numPr>
          <w:ilvl w:val="2"/>
          <w:numId w:val="277"/>
        </w:numPr>
        <w:rPr>
          <w:rFonts w:ascii="Arial" w:cs="Arial" w:eastAsia="Arial" w:hAnsi="Arial"/>
          <w:sz w:val="20"/>
          <w:szCs w:val="20"/>
          <w:b w:val="1"/>
          <w:bCs w:val="1"/>
          <w:color w:val="auto"/>
        </w:rPr>
      </w:pPr>
      <w:r>
        <w:rPr>
          <w:rFonts w:ascii="Arial" w:cs="Arial" w:eastAsia="Arial" w:hAnsi="Arial"/>
          <w:sz w:val="20"/>
          <w:szCs w:val="20"/>
          <w:color w:val="auto"/>
        </w:rPr>
        <w:t>To settle all controversies regarding the Plan and Purchase Rights granted under the Plan.</w:t>
      </w:r>
    </w:p>
    <w:p>
      <w:pPr>
        <w:spacing w:after="0" w:line="215" w:lineRule="exact"/>
        <w:rPr>
          <w:rFonts w:ascii="Arial" w:cs="Arial" w:eastAsia="Arial" w:hAnsi="Arial"/>
          <w:sz w:val="20"/>
          <w:szCs w:val="20"/>
          <w:b w:val="1"/>
          <w:bCs w:val="1"/>
          <w:color w:val="auto"/>
        </w:rPr>
      </w:pPr>
    </w:p>
    <w:p>
      <w:pPr>
        <w:ind w:left="1740" w:hanging="436"/>
        <w:spacing w:after="0"/>
        <w:tabs>
          <w:tab w:leader="none" w:pos="1740" w:val="left"/>
        </w:tabs>
        <w:numPr>
          <w:ilvl w:val="2"/>
          <w:numId w:val="277"/>
        </w:numPr>
        <w:rPr>
          <w:rFonts w:ascii="Arial" w:cs="Arial" w:eastAsia="Arial" w:hAnsi="Arial"/>
          <w:sz w:val="20"/>
          <w:szCs w:val="20"/>
          <w:b w:val="1"/>
          <w:bCs w:val="1"/>
          <w:color w:val="auto"/>
        </w:rPr>
      </w:pPr>
      <w:r>
        <w:rPr>
          <w:rFonts w:ascii="Arial" w:cs="Arial" w:eastAsia="Arial" w:hAnsi="Arial"/>
          <w:sz w:val="20"/>
          <w:szCs w:val="20"/>
          <w:color w:val="auto"/>
        </w:rPr>
        <w:t>To suspend or terminate the Plan at any time as provided in Section 12.</w:t>
      </w:r>
    </w:p>
    <w:p>
      <w:pPr>
        <w:spacing w:after="0" w:line="215" w:lineRule="exact"/>
        <w:rPr>
          <w:rFonts w:ascii="Arial" w:cs="Arial" w:eastAsia="Arial" w:hAnsi="Arial"/>
          <w:sz w:val="20"/>
          <w:szCs w:val="20"/>
          <w:b w:val="1"/>
          <w:bCs w:val="1"/>
          <w:color w:val="auto"/>
        </w:rPr>
      </w:pPr>
    </w:p>
    <w:p>
      <w:pPr>
        <w:ind w:left="1780" w:hanging="476"/>
        <w:spacing w:after="0"/>
        <w:tabs>
          <w:tab w:leader="none" w:pos="1780" w:val="left"/>
        </w:tabs>
        <w:numPr>
          <w:ilvl w:val="2"/>
          <w:numId w:val="277"/>
        </w:numPr>
        <w:rPr>
          <w:rFonts w:ascii="Arial" w:cs="Arial" w:eastAsia="Arial" w:hAnsi="Arial"/>
          <w:sz w:val="20"/>
          <w:szCs w:val="20"/>
          <w:b w:val="1"/>
          <w:bCs w:val="1"/>
          <w:color w:val="auto"/>
        </w:rPr>
      </w:pPr>
      <w:r>
        <w:rPr>
          <w:rFonts w:ascii="Arial" w:cs="Arial" w:eastAsia="Arial" w:hAnsi="Arial"/>
          <w:sz w:val="20"/>
          <w:szCs w:val="20"/>
          <w:color w:val="auto"/>
        </w:rPr>
        <w:t>To amend the Plan at any time as provided in Section 12.</w:t>
      </w:r>
    </w:p>
    <w:p>
      <w:pPr>
        <w:spacing w:after="0" w:line="215" w:lineRule="exact"/>
        <w:rPr>
          <w:rFonts w:ascii="Arial" w:cs="Arial" w:eastAsia="Arial" w:hAnsi="Arial"/>
          <w:sz w:val="20"/>
          <w:szCs w:val="20"/>
          <w:b w:val="1"/>
          <w:bCs w:val="1"/>
          <w:color w:val="auto"/>
        </w:rPr>
      </w:pPr>
    </w:p>
    <w:p>
      <w:pPr>
        <w:jc w:val="both"/>
        <w:ind w:firstLine="1304"/>
        <w:spacing w:after="0" w:line="250" w:lineRule="auto"/>
        <w:tabs>
          <w:tab w:leader="none" w:pos="1875" w:val="left"/>
        </w:tabs>
        <w:numPr>
          <w:ilvl w:val="2"/>
          <w:numId w:val="277"/>
        </w:numPr>
        <w:rPr>
          <w:rFonts w:ascii="Arial" w:cs="Arial" w:eastAsia="Arial" w:hAnsi="Arial"/>
          <w:sz w:val="20"/>
          <w:szCs w:val="20"/>
          <w:b w:val="1"/>
          <w:bCs w:val="1"/>
          <w:color w:val="auto"/>
        </w:rPr>
      </w:pPr>
      <w:r>
        <w:rPr>
          <w:rFonts w:ascii="Arial" w:cs="Arial" w:eastAsia="Arial" w:hAnsi="Arial"/>
          <w:sz w:val="20"/>
          <w:szCs w:val="20"/>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185" w:lineRule="exact"/>
        <w:rPr>
          <w:rFonts w:ascii="Arial" w:cs="Arial" w:eastAsia="Arial" w:hAnsi="Arial"/>
          <w:sz w:val="20"/>
          <w:szCs w:val="20"/>
          <w:b w:val="1"/>
          <w:bCs w:val="1"/>
          <w:color w:val="auto"/>
        </w:rPr>
      </w:pPr>
    </w:p>
    <w:p>
      <w:pPr>
        <w:ind w:firstLine="1304"/>
        <w:spacing w:after="0" w:line="260" w:lineRule="auto"/>
        <w:tabs>
          <w:tab w:leader="none" w:pos="2024" w:val="left"/>
        </w:tabs>
        <w:numPr>
          <w:ilvl w:val="2"/>
          <w:numId w:val="277"/>
        </w:numPr>
        <w:rPr>
          <w:rFonts w:ascii="Arial" w:cs="Arial" w:eastAsia="Arial" w:hAnsi="Arial"/>
          <w:sz w:val="20"/>
          <w:szCs w:val="20"/>
          <w:b w:val="1"/>
          <w:bCs w:val="1"/>
          <w:color w:val="auto"/>
        </w:rPr>
      </w:pPr>
      <w:r>
        <w:rPr>
          <w:rFonts w:ascii="Arial" w:cs="Arial" w:eastAsia="Arial" w:hAnsi="Arial"/>
          <w:sz w:val="20"/>
          <w:szCs w:val="20"/>
          <w:color w:val="auto"/>
        </w:rPr>
        <w:t>To adopt such procedures and sub-plans as are necessary or appropriate to permit participation in the Plan by Employees who are foreign nationals or employed outside the United States.</w:t>
      </w:r>
    </w:p>
    <w:p>
      <w:pPr>
        <w:sectPr>
          <w:pgSz w:w="11900" w:h="16838" w:orient="portrait"/>
          <w:cols w:equalWidth="0" w:num="1">
            <w:col w:w="11240"/>
          </w:cols>
          <w:pgMar w:left="320" w:top="121" w:right="339" w:bottom="1440" w:gutter="0" w:footer="0" w:header="0"/>
        </w:sectPr>
      </w:pPr>
    </w:p>
    <w:bookmarkStart w:id="319" w:name="page320"/>
    <w:bookmarkEnd w:id="319"/>
    <w:p>
      <w:pPr>
        <w:jc w:val="both"/>
        <w:ind w:firstLine="656"/>
        <w:spacing w:after="0" w:line="256" w:lineRule="auto"/>
        <w:tabs>
          <w:tab w:leader="none" w:pos="1160" w:val="left"/>
        </w:tabs>
        <w:numPr>
          <w:ilvl w:val="1"/>
          <w:numId w:val="278"/>
        </w:numPr>
        <w:rPr>
          <w:rFonts w:ascii="Arial" w:cs="Arial" w:eastAsia="Arial" w:hAnsi="Arial"/>
          <w:sz w:val="19"/>
          <w:szCs w:val="19"/>
          <w:b w:val="1"/>
          <w:bCs w:val="1"/>
          <w:color w:val="auto"/>
        </w:rPr>
      </w:pPr>
      <w:r>
        <w:rPr>
          <w:rFonts w:ascii="Arial" w:cs="Arial" w:eastAsia="Arial" w:hAnsi="Arial"/>
          <w:sz w:val="19"/>
          <w:szCs w:val="19"/>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to the Board in this Plan and in any applicable Offering Document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84" w:lineRule="exact"/>
        <w:rPr>
          <w:rFonts w:ascii="Arial" w:cs="Arial" w:eastAsia="Arial" w:hAnsi="Arial"/>
          <w:sz w:val="19"/>
          <w:szCs w:val="19"/>
          <w:b w:val="1"/>
          <w:bCs w:val="1"/>
          <w:color w:val="auto"/>
        </w:rPr>
      </w:pPr>
    </w:p>
    <w:p>
      <w:pPr>
        <w:ind w:firstLine="656"/>
        <w:spacing w:after="0" w:line="260" w:lineRule="auto"/>
        <w:tabs>
          <w:tab w:leader="none" w:pos="1169" w:val="left"/>
        </w:tabs>
        <w:numPr>
          <w:ilvl w:val="1"/>
          <w:numId w:val="278"/>
        </w:numPr>
        <w:rPr>
          <w:rFonts w:ascii="Arial" w:cs="Arial" w:eastAsia="Arial" w:hAnsi="Arial"/>
          <w:sz w:val="20"/>
          <w:szCs w:val="20"/>
          <w:b w:val="1"/>
          <w:bCs w:val="1"/>
          <w:color w:val="auto"/>
        </w:rPr>
      </w:pPr>
      <w:r>
        <w:rPr>
          <w:rFonts w:ascii="Arial" w:cs="Arial" w:eastAsia="Arial" w:hAnsi="Arial"/>
          <w:sz w:val="20"/>
          <w:szCs w:val="20"/>
          <w:color w:val="auto"/>
        </w:rPr>
        <w:t>All determinations, interpretations and constructions made by the Board in good faith will not be subject to review by any person and will be final, binding and conclusive on all persons.</w:t>
      </w:r>
    </w:p>
    <w:p>
      <w:pPr>
        <w:spacing w:after="0" w:line="170" w:lineRule="exact"/>
        <w:rPr>
          <w:rFonts w:ascii="Arial" w:cs="Arial" w:eastAsia="Arial" w:hAnsi="Arial"/>
          <w:sz w:val="20"/>
          <w:szCs w:val="20"/>
          <w:b w:val="1"/>
          <w:bCs w:val="1"/>
          <w:color w:val="auto"/>
        </w:rPr>
      </w:pPr>
    </w:p>
    <w:p>
      <w:pPr>
        <w:ind w:left="360" w:hanging="352"/>
        <w:spacing w:after="0"/>
        <w:tabs>
          <w:tab w:leader="none" w:pos="360" w:val="left"/>
        </w:tabs>
        <w:numPr>
          <w:ilvl w:val="0"/>
          <w:numId w:val="279"/>
        </w:numPr>
        <w:rPr>
          <w:rFonts w:ascii="Arial" w:cs="Arial" w:eastAsia="Arial" w:hAnsi="Arial"/>
          <w:sz w:val="20"/>
          <w:szCs w:val="20"/>
          <w:b w:val="1"/>
          <w:bCs w:val="1"/>
          <w:color w:val="auto"/>
        </w:rPr>
      </w:pPr>
      <w:r>
        <w:rPr>
          <w:rFonts w:ascii="Arial" w:cs="Arial" w:eastAsia="Arial" w:hAnsi="Arial"/>
          <w:sz w:val="20"/>
          <w:szCs w:val="20"/>
          <w:b w:val="1"/>
          <w:bCs w:val="1"/>
          <w:color w:val="auto"/>
        </w:rPr>
        <w:t>Shares of Common Stock Subject to the Plan</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656"/>
        <w:spacing w:after="0" w:line="257" w:lineRule="auto"/>
        <w:tabs>
          <w:tab w:leader="none" w:pos="1103" w:val="left"/>
        </w:tabs>
        <w:numPr>
          <w:ilvl w:val="1"/>
          <w:numId w:val="279"/>
        </w:numPr>
        <w:rPr>
          <w:rFonts w:ascii="Arial" w:cs="Arial" w:eastAsia="Arial" w:hAnsi="Arial"/>
          <w:sz w:val="19"/>
          <w:szCs w:val="19"/>
          <w:b w:val="1"/>
          <w:bCs w:val="1"/>
          <w:color w:val="auto"/>
        </w:rPr>
      </w:pPr>
      <w:r>
        <w:rPr>
          <w:rFonts w:ascii="Arial" w:cs="Arial" w:eastAsia="Arial" w:hAnsi="Arial"/>
          <w:sz w:val="19"/>
          <w:szCs w:val="19"/>
          <w:color w:val="auto"/>
        </w:rPr>
        <w:t>Subject to the provisions of Section 11(a) relating to Capitalization Adjustments, the maximum number of shares of Common Stock that may be issued under the Plan will not exceed 841,200 shares of Common Stock, plus the number of shares of Common Stock that are automatically added on January 1st of each year for a period of up to nine years, commencing on January 1, 2023 and ending on (and including) January 1, 2031, in an amount equal to the lesser of (i) one percent (1%) of the total number of shares of Capital Stock outstanding on December 31 of the preceding calendar year, and (ii) 850,000 shares of Common Stock.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w:t>
      </w:r>
    </w:p>
    <w:p>
      <w:pPr>
        <w:spacing w:after="0" w:line="180" w:lineRule="exact"/>
        <w:rPr>
          <w:rFonts w:ascii="Arial" w:cs="Arial" w:eastAsia="Arial" w:hAnsi="Arial"/>
          <w:sz w:val="19"/>
          <w:szCs w:val="19"/>
          <w:b w:val="1"/>
          <w:bCs w:val="1"/>
          <w:color w:val="auto"/>
        </w:rPr>
      </w:pPr>
    </w:p>
    <w:p>
      <w:pPr>
        <w:ind w:right="20" w:firstLine="656"/>
        <w:spacing w:after="0" w:line="260" w:lineRule="auto"/>
        <w:tabs>
          <w:tab w:leader="none" w:pos="1088" w:val="left"/>
        </w:tabs>
        <w:numPr>
          <w:ilvl w:val="1"/>
          <w:numId w:val="279"/>
        </w:numPr>
        <w:rPr>
          <w:rFonts w:ascii="Arial" w:cs="Arial" w:eastAsia="Arial" w:hAnsi="Arial"/>
          <w:sz w:val="20"/>
          <w:szCs w:val="20"/>
          <w:b w:val="1"/>
          <w:bCs w:val="1"/>
          <w:color w:val="auto"/>
        </w:rPr>
      </w:pPr>
      <w:r>
        <w:rPr>
          <w:rFonts w:ascii="Arial" w:cs="Arial" w:eastAsia="Arial" w:hAnsi="Arial"/>
          <w:sz w:val="20"/>
          <w:szCs w:val="20"/>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76" w:lineRule="exact"/>
        <w:rPr>
          <w:rFonts w:ascii="Arial" w:cs="Arial" w:eastAsia="Arial" w:hAnsi="Arial"/>
          <w:sz w:val="20"/>
          <w:szCs w:val="20"/>
          <w:b w:val="1"/>
          <w:bCs w:val="1"/>
          <w:color w:val="auto"/>
        </w:rPr>
      </w:pPr>
    </w:p>
    <w:p>
      <w:pPr>
        <w:ind w:firstLine="656"/>
        <w:spacing w:after="0" w:line="260" w:lineRule="auto"/>
        <w:tabs>
          <w:tab w:leader="none" w:pos="1092" w:val="left"/>
        </w:tabs>
        <w:numPr>
          <w:ilvl w:val="1"/>
          <w:numId w:val="279"/>
        </w:numPr>
        <w:rPr>
          <w:rFonts w:ascii="Arial" w:cs="Arial" w:eastAsia="Arial" w:hAnsi="Arial"/>
          <w:sz w:val="20"/>
          <w:szCs w:val="20"/>
          <w:b w:val="1"/>
          <w:bCs w:val="1"/>
          <w:color w:val="auto"/>
        </w:rPr>
      </w:pPr>
      <w:r>
        <w:rPr>
          <w:rFonts w:ascii="Arial" w:cs="Arial" w:eastAsia="Arial" w:hAnsi="Arial"/>
          <w:sz w:val="20"/>
          <w:szCs w:val="20"/>
          <w:color w:val="auto"/>
        </w:rPr>
        <w:t>The stock purchasable under the Plan will be shares of authorized but unissued or reacquired Common Stock, including shares repurchased by the Company on the open market.</w:t>
      </w:r>
    </w:p>
    <w:p>
      <w:pPr>
        <w:spacing w:after="0" w:line="170" w:lineRule="exact"/>
        <w:rPr>
          <w:rFonts w:ascii="Arial" w:cs="Arial" w:eastAsia="Arial" w:hAnsi="Arial"/>
          <w:sz w:val="20"/>
          <w:szCs w:val="20"/>
          <w:b w:val="1"/>
          <w:bCs w:val="1"/>
          <w:color w:val="auto"/>
        </w:rPr>
      </w:pPr>
    </w:p>
    <w:p>
      <w:pPr>
        <w:ind w:left="360" w:hanging="352"/>
        <w:spacing w:after="0"/>
        <w:tabs>
          <w:tab w:leader="none" w:pos="360" w:val="left"/>
        </w:tabs>
        <w:numPr>
          <w:ilvl w:val="0"/>
          <w:numId w:val="279"/>
        </w:numPr>
        <w:rPr>
          <w:rFonts w:ascii="Arial" w:cs="Arial" w:eastAsia="Arial" w:hAnsi="Arial"/>
          <w:sz w:val="20"/>
          <w:szCs w:val="20"/>
          <w:b w:val="1"/>
          <w:bCs w:val="1"/>
          <w:color w:val="auto"/>
        </w:rPr>
      </w:pPr>
      <w:r>
        <w:rPr>
          <w:rFonts w:ascii="Arial" w:cs="Arial" w:eastAsia="Arial" w:hAnsi="Arial"/>
          <w:sz w:val="20"/>
          <w:szCs w:val="20"/>
          <w:b w:val="1"/>
          <w:bCs w:val="1"/>
          <w:color w:val="auto"/>
        </w:rPr>
        <w:t>Grant of Purchase Rights; Offering</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656"/>
        <w:spacing w:after="0" w:line="272" w:lineRule="auto"/>
        <w:tabs>
          <w:tab w:leader="none" w:pos="1117" w:val="left"/>
        </w:tabs>
        <w:numPr>
          <w:ilvl w:val="1"/>
          <w:numId w:val="279"/>
        </w:numPr>
        <w:rPr>
          <w:rFonts w:ascii="Arial" w:cs="Arial" w:eastAsia="Arial" w:hAnsi="Arial"/>
          <w:sz w:val="18"/>
          <w:szCs w:val="18"/>
          <w:b w:val="1"/>
          <w:bCs w:val="1"/>
          <w:color w:val="auto"/>
        </w:rPr>
      </w:pPr>
      <w:r>
        <w:rPr>
          <w:rFonts w:ascii="Arial" w:cs="Arial" w:eastAsia="Arial" w:hAnsi="Arial"/>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will comply with the requirement of Section 423(b)</w:t>
      </w:r>
    </w:p>
    <w:p>
      <w:pPr>
        <w:jc w:val="both"/>
        <w:spacing w:after="0" w:line="256" w:lineRule="auto"/>
        <w:rPr>
          <w:rFonts w:ascii="Arial" w:cs="Arial" w:eastAsia="Arial" w:hAnsi="Arial"/>
          <w:sz w:val="18"/>
          <w:szCs w:val="18"/>
          <w:b w:val="1"/>
          <w:bCs w:val="1"/>
          <w:color w:val="auto"/>
        </w:rPr>
      </w:pPr>
      <w:r>
        <w:rPr>
          <w:rFonts w:ascii="Arial" w:cs="Arial" w:eastAsia="Arial" w:hAnsi="Arial"/>
          <w:sz w:val="19"/>
          <w:szCs w:val="19"/>
          <w:color w:val="auto"/>
        </w:rPr>
        <w:t>(5)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ectPr>
          <w:pgSz w:w="11900" w:h="16838" w:orient="portrait"/>
          <w:cols w:equalWidth="0" w:num="1">
            <w:col w:w="11240"/>
          </w:cols>
          <w:pgMar w:left="320" w:top="1419" w:right="339" w:bottom="1440" w:gutter="0" w:footer="0" w:header="0"/>
        </w:sectPr>
      </w:pPr>
    </w:p>
    <w:bookmarkStart w:id="320" w:name="page321"/>
    <w:bookmarkEnd w:id="320"/>
    <w:p>
      <w:pPr>
        <w:jc w:val="both"/>
        <w:ind w:left="-8" w:firstLine="656"/>
        <w:spacing w:after="0" w:line="244" w:lineRule="auto"/>
        <w:tabs>
          <w:tab w:leader="none" w:pos="1134" w:val="left"/>
        </w:tabs>
        <w:numPr>
          <w:ilvl w:val="1"/>
          <w:numId w:val="280"/>
        </w:numPr>
        <w:rPr>
          <w:rFonts w:ascii="Arial" w:cs="Arial" w:eastAsia="Arial" w:hAnsi="Arial"/>
          <w:sz w:val="20"/>
          <w:szCs w:val="20"/>
          <w:b w:val="1"/>
          <w:bCs w:val="1"/>
          <w:color w:val="auto"/>
        </w:rPr>
      </w:pPr>
      <w:r>
        <w:rPr>
          <w:rFonts w:ascii="Arial" w:cs="Arial" w:eastAsia="Arial" w:hAnsi="Arial"/>
          <w:sz w:val="20"/>
          <w:szCs w:val="20"/>
          <w:color w:val="auto"/>
        </w:rPr>
        <w:t>If a Participant has more than one Purchase Right outstanding under the Plan, unless such Participant otherwise indicates in forms delivered to the Company: (i) each form will apply to all of the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94" w:lineRule="exact"/>
        <w:rPr>
          <w:rFonts w:ascii="Arial" w:cs="Arial" w:eastAsia="Arial" w:hAnsi="Arial"/>
          <w:sz w:val="20"/>
          <w:szCs w:val="20"/>
          <w:b w:val="1"/>
          <w:bCs w:val="1"/>
          <w:color w:val="auto"/>
        </w:rPr>
      </w:pPr>
    </w:p>
    <w:p>
      <w:pPr>
        <w:jc w:val="both"/>
        <w:ind w:left="-8" w:firstLine="656"/>
        <w:spacing w:after="0" w:line="282" w:lineRule="auto"/>
        <w:tabs>
          <w:tab w:leader="none" w:pos="1071"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155" w:lineRule="exact"/>
        <w:rPr>
          <w:rFonts w:ascii="Arial" w:cs="Arial" w:eastAsia="Arial" w:hAnsi="Arial"/>
          <w:sz w:val="18"/>
          <w:szCs w:val="18"/>
          <w:b w:val="1"/>
          <w:bCs w:val="1"/>
          <w:color w:val="auto"/>
        </w:rPr>
      </w:pPr>
    </w:p>
    <w:p>
      <w:pPr>
        <w:ind w:left="352" w:hanging="352"/>
        <w:spacing w:after="0"/>
        <w:tabs>
          <w:tab w:leader="none" w:pos="352" w:val="left"/>
        </w:tabs>
        <w:numPr>
          <w:ilvl w:val="0"/>
          <w:numId w:val="281"/>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left="-8" w:firstLine="656"/>
        <w:spacing w:after="0" w:line="257" w:lineRule="auto"/>
        <w:tabs>
          <w:tab w:leader="none" w:pos="1082" w:val="left"/>
        </w:tabs>
        <w:numPr>
          <w:ilvl w:val="1"/>
          <w:numId w:val="281"/>
        </w:numPr>
        <w:rPr>
          <w:rFonts w:ascii="Arial" w:cs="Arial" w:eastAsia="Arial" w:hAnsi="Arial"/>
          <w:sz w:val="19"/>
          <w:szCs w:val="19"/>
          <w:b w:val="1"/>
          <w:bCs w:val="1"/>
          <w:color w:val="auto"/>
        </w:rPr>
      </w:pPr>
      <w:r>
        <w:rPr>
          <w:rFonts w:ascii="Arial" w:cs="Arial" w:eastAsia="Arial" w:hAnsi="Arial"/>
          <w:sz w:val="19"/>
          <w:szCs w:val="19"/>
          <w:color w:val="auto"/>
        </w:rPr>
        <w:t>Purchase Rights may be granted only to Employees of the Company or, as the Board may designate in accordance with Section 2(b), to Employees of a Related Corporation. Except as provided in Section 5(b),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w:t>
      </w:r>
    </w:p>
    <w:p>
      <w:pPr>
        <w:spacing w:after="0" w:line="180" w:lineRule="exact"/>
        <w:rPr>
          <w:rFonts w:ascii="Arial" w:cs="Arial" w:eastAsia="Arial" w:hAnsi="Arial"/>
          <w:sz w:val="19"/>
          <w:szCs w:val="19"/>
          <w:b w:val="1"/>
          <w:bCs w:val="1"/>
          <w:color w:val="auto"/>
        </w:rPr>
      </w:pPr>
    </w:p>
    <w:p>
      <w:pPr>
        <w:jc w:val="both"/>
        <w:ind w:left="-8" w:firstLine="656"/>
        <w:spacing w:after="0" w:line="244" w:lineRule="auto"/>
        <w:tabs>
          <w:tab w:leader="none" w:pos="1107" w:val="left"/>
        </w:tabs>
        <w:numPr>
          <w:ilvl w:val="1"/>
          <w:numId w:val="281"/>
        </w:numPr>
        <w:rPr>
          <w:rFonts w:ascii="Arial" w:cs="Arial" w:eastAsia="Arial" w:hAnsi="Arial"/>
          <w:sz w:val="20"/>
          <w:szCs w:val="20"/>
          <w:b w:val="1"/>
          <w:bCs w:val="1"/>
          <w:color w:val="auto"/>
        </w:rPr>
      </w:pPr>
      <w:r>
        <w:rPr>
          <w:rFonts w:ascii="Arial" w:cs="Arial" w:eastAsia="Arial" w:hAnsi="Arial"/>
          <w:sz w:val="20"/>
          <w:szCs w:val="20"/>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94" w:lineRule="exact"/>
        <w:rPr>
          <w:rFonts w:ascii="Arial" w:cs="Arial" w:eastAsia="Arial" w:hAnsi="Arial"/>
          <w:sz w:val="20"/>
          <w:szCs w:val="20"/>
          <w:b w:val="1"/>
          <w:bCs w:val="1"/>
          <w:color w:val="auto"/>
        </w:rPr>
      </w:pPr>
    </w:p>
    <w:p>
      <w:pPr>
        <w:ind w:left="-8" w:firstLine="1304"/>
        <w:spacing w:after="0" w:line="260" w:lineRule="auto"/>
        <w:tabs>
          <w:tab w:leader="none" w:pos="1700" w:val="left"/>
        </w:tabs>
        <w:numPr>
          <w:ilvl w:val="2"/>
          <w:numId w:val="281"/>
        </w:numPr>
        <w:rPr>
          <w:rFonts w:ascii="Arial" w:cs="Arial" w:eastAsia="Arial" w:hAnsi="Arial"/>
          <w:sz w:val="20"/>
          <w:szCs w:val="20"/>
          <w:b w:val="1"/>
          <w:bCs w:val="1"/>
          <w:color w:val="auto"/>
        </w:rPr>
      </w:pPr>
      <w:r>
        <w:rPr>
          <w:rFonts w:ascii="Arial" w:cs="Arial" w:eastAsia="Arial" w:hAnsi="Arial"/>
          <w:sz w:val="20"/>
          <w:szCs w:val="20"/>
          <w:color w:val="auto"/>
        </w:rPr>
        <w:t>the date on which such Purchase Right is granted will be the “</w:t>
      </w:r>
      <w:r>
        <w:rPr>
          <w:rFonts w:ascii="Arial" w:cs="Arial" w:eastAsia="Arial" w:hAnsi="Arial"/>
          <w:sz w:val="20"/>
          <w:szCs w:val="20"/>
          <w:b w:val="1"/>
          <w:bCs w:val="1"/>
          <w:i w:val="1"/>
          <w:iCs w:val="1"/>
          <w:color w:val="auto"/>
        </w:rPr>
        <w:t>Offering Date</w:t>
      </w:r>
      <w:r>
        <w:rPr>
          <w:rFonts w:ascii="Arial" w:cs="Arial" w:eastAsia="Arial" w:hAnsi="Arial"/>
          <w:sz w:val="20"/>
          <w:szCs w:val="20"/>
          <w:color w:val="auto"/>
        </w:rPr>
        <w:t>” of such Purchase Right for all purposes, including determination of the exercise price of such Purchase Right;</w:t>
      </w:r>
    </w:p>
    <w:p>
      <w:pPr>
        <w:spacing w:after="0" w:line="176" w:lineRule="exact"/>
        <w:rPr>
          <w:rFonts w:ascii="Arial" w:cs="Arial" w:eastAsia="Arial" w:hAnsi="Arial"/>
          <w:sz w:val="20"/>
          <w:szCs w:val="20"/>
          <w:b w:val="1"/>
          <w:bCs w:val="1"/>
          <w:color w:val="auto"/>
        </w:rPr>
      </w:pPr>
    </w:p>
    <w:p>
      <w:pPr>
        <w:ind w:left="-8" w:firstLine="1304"/>
        <w:spacing w:after="0" w:line="260" w:lineRule="auto"/>
        <w:tabs>
          <w:tab w:leader="none" w:pos="1754" w:val="left"/>
        </w:tabs>
        <w:numPr>
          <w:ilvl w:val="2"/>
          <w:numId w:val="281"/>
        </w:numPr>
        <w:rPr>
          <w:rFonts w:ascii="Arial" w:cs="Arial" w:eastAsia="Arial" w:hAnsi="Arial"/>
          <w:sz w:val="20"/>
          <w:szCs w:val="20"/>
          <w:b w:val="1"/>
          <w:bCs w:val="1"/>
          <w:color w:val="auto"/>
        </w:rPr>
      </w:pPr>
      <w:r>
        <w:rPr>
          <w:rFonts w:ascii="Arial" w:cs="Arial" w:eastAsia="Arial" w:hAnsi="Arial"/>
          <w:sz w:val="20"/>
          <w:szCs w:val="20"/>
          <w:color w:val="auto"/>
        </w:rPr>
        <w:t>the period of the Offering with respect to such Purchase Right will begin on its Offering Date and end coincident with the end of such Offering; and</w:t>
      </w:r>
    </w:p>
    <w:p>
      <w:pPr>
        <w:spacing w:after="0" w:line="176" w:lineRule="exact"/>
        <w:rPr>
          <w:rFonts w:ascii="Arial" w:cs="Arial" w:eastAsia="Arial" w:hAnsi="Arial"/>
          <w:sz w:val="20"/>
          <w:szCs w:val="20"/>
          <w:b w:val="1"/>
          <w:bCs w:val="1"/>
          <w:color w:val="auto"/>
        </w:rPr>
      </w:pPr>
    </w:p>
    <w:p>
      <w:pPr>
        <w:ind w:left="-8" w:firstLine="1304"/>
        <w:spacing w:after="0" w:line="260" w:lineRule="auto"/>
        <w:tabs>
          <w:tab w:leader="none" w:pos="1782" w:val="left"/>
        </w:tabs>
        <w:numPr>
          <w:ilvl w:val="2"/>
          <w:numId w:val="281"/>
        </w:numPr>
        <w:rPr>
          <w:rFonts w:ascii="Arial" w:cs="Arial" w:eastAsia="Arial" w:hAnsi="Arial"/>
          <w:sz w:val="20"/>
          <w:szCs w:val="20"/>
          <w:b w:val="1"/>
          <w:bCs w:val="1"/>
          <w:color w:val="auto"/>
        </w:rPr>
      </w:pPr>
      <w:r>
        <w:rPr>
          <w:rFonts w:ascii="Arial" w:cs="Arial" w:eastAsia="Arial" w:hAnsi="Arial"/>
          <w:sz w:val="20"/>
          <w:szCs w:val="20"/>
          <w:color w:val="auto"/>
        </w:rPr>
        <w:t>the Board may provide that if such person first becomes an Eligible Employee within a specified period of time before the end of the Offering, the individual will not receive any Purchase Right under that Offering.</w:t>
      </w:r>
    </w:p>
    <w:p>
      <w:pPr>
        <w:spacing w:after="0" w:line="176" w:lineRule="exact"/>
        <w:rPr>
          <w:rFonts w:ascii="Arial" w:cs="Arial" w:eastAsia="Arial" w:hAnsi="Arial"/>
          <w:sz w:val="20"/>
          <w:szCs w:val="20"/>
          <w:b w:val="1"/>
          <w:bCs w:val="1"/>
          <w:color w:val="auto"/>
        </w:rPr>
      </w:pPr>
    </w:p>
    <w:p>
      <w:pPr>
        <w:jc w:val="both"/>
        <w:ind w:left="-8" w:right="20" w:firstLine="656"/>
        <w:spacing w:after="0" w:line="291" w:lineRule="auto"/>
        <w:tabs>
          <w:tab w:leader="none" w:pos="1084" w:val="left"/>
        </w:tabs>
        <w:numPr>
          <w:ilvl w:val="1"/>
          <w:numId w:val="281"/>
        </w:numPr>
        <w:rPr>
          <w:rFonts w:ascii="Arial" w:cs="Arial" w:eastAsia="Arial" w:hAnsi="Arial"/>
          <w:sz w:val="18"/>
          <w:szCs w:val="18"/>
          <w:b w:val="1"/>
          <w:bCs w:val="1"/>
          <w:color w:val="auto"/>
        </w:rPr>
      </w:pPr>
      <w:r>
        <w:rPr>
          <w:rFonts w:ascii="Arial" w:cs="Arial" w:eastAsia="Arial" w:hAnsi="Arial"/>
          <w:sz w:val="18"/>
          <w:szCs w:val="18"/>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w:t>
      </w:r>
    </w:p>
    <w:p>
      <w:pPr>
        <w:sectPr>
          <w:pgSz w:w="11900" w:h="16838" w:orient="portrait"/>
          <w:cols w:equalWidth="0" w:num="1">
            <w:col w:w="11232"/>
          </w:cols>
          <w:pgMar w:left="328" w:top="1419" w:right="339" w:bottom="1440" w:gutter="0" w:footer="0" w:header="0"/>
        </w:sectPr>
      </w:pPr>
    </w:p>
    <w:bookmarkStart w:id="321" w:name="page322"/>
    <w:bookmarkEnd w:id="321"/>
    <w:p>
      <w:pPr>
        <w:ind w:right="20"/>
        <w:spacing w:after="0" w:line="260" w:lineRule="auto"/>
        <w:rPr>
          <w:sz w:val="20"/>
          <w:szCs w:val="20"/>
          <w:color w:val="auto"/>
        </w:rPr>
      </w:pPr>
      <w:r>
        <w:rPr>
          <w:rFonts w:ascii="Arial" w:cs="Arial" w:eastAsia="Arial" w:hAnsi="Arial"/>
          <w:sz w:val="20"/>
          <w:szCs w:val="20"/>
          <w:color w:val="auto"/>
        </w:rPr>
        <w:t>determining the stock ownership of any Employee, and stock which such Employee may purchase under all outstanding Purchase Rights and options will be treated as stock owned by such Employee.</w:t>
      </w:r>
    </w:p>
    <w:p>
      <w:pPr>
        <w:spacing w:after="0" w:line="177" w:lineRule="exact"/>
        <w:rPr>
          <w:sz w:val="20"/>
          <w:szCs w:val="20"/>
          <w:color w:val="auto"/>
        </w:rPr>
      </w:pPr>
    </w:p>
    <w:p>
      <w:pPr>
        <w:jc w:val="both"/>
        <w:ind w:firstLine="656"/>
        <w:spacing w:after="0" w:line="278" w:lineRule="auto"/>
        <w:tabs>
          <w:tab w:leader="none" w:pos="1142"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64" w:lineRule="exact"/>
        <w:rPr>
          <w:rFonts w:ascii="Arial" w:cs="Arial" w:eastAsia="Arial" w:hAnsi="Arial"/>
          <w:sz w:val="18"/>
          <w:szCs w:val="18"/>
          <w:b w:val="1"/>
          <w:bCs w:val="1"/>
          <w:color w:val="auto"/>
        </w:rPr>
      </w:pPr>
    </w:p>
    <w:p>
      <w:pPr>
        <w:jc w:val="both"/>
        <w:ind w:firstLine="656"/>
        <w:spacing w:after="0" w:line="269" w:lineRule="auto"/>
        <w:tabs>
          <w:tab w:leader="none" w:pos="1092" w:val="left"/>
        </w:tabs>
        <w:numPr>
          <w:ilvl w:val="1"/>
          <w:numId w:val="282"/>
        </w:numPr>
        <w:rPr>
          <w:rFonts w:ascii="Arial" w:cs="Arial" w:eastAsia="Arial" w:hAnsi="Arial"/>
          <w:sz w:val="19"/>
          <w:szCs w:val="19"/>
          <w:b w:val="1"/>
          <w:bCs w:val="1"/>
          <w:color w:val="auto"/>
        </w:rPr>
      </w:pPr>
      <w:r>
        <w:rPr>
          <w:rFonts w:ascii="Arial" w:cs="Arial" w:eastAsia="Arial" w:hAnsi="Arial"/>
          <w:sz w:val="19"/>
          <w:szCs w:val="19"/>
          <w:color w:val="auto"/>
        </w:rPr>
        <w:t>Officers of the Company and any designated Related Corporation,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163" w:lineRule="exact"/>
        <w:rPr>
          <w:rFonts w:ascii="Arial" w:cs="Arial" w:eastAsia="Arial" w:hAnsi="Arial"/>
          <w:sz w:val="19"/>
          <w:szCs w:val="19"/>
          <w:b w:val="1"/>
          <w:bCs w:val="1"/>
          <w:color w:val="auto"/>
        </w:rPr>
      </w:pPr>
    </w:p>
    <w:p>
      <w:pPr>
        <w:ind w:left="360" w:hanging="352"/>
        <w:spacing w:after="0"/>
        <w:tabs>
          <w:tab w:leader="none" w:pos="360" w:val="left"/>
        </w:tabs>
        <w:numPr>
          <w:ilvl w:val="0"/>
          <w:numId w:val="283"/>
        </w:numPr>
        <w:rPr>
          <w:rFonts w:ascii="Arial" w:cs="Arial" w:eastAsia="Arial" w:hAnsi="Arial"/>
          <w:sz w:val="20"/>
          <w:szCs w:val="20"/>
          <w:b w:val="1"/>
          <w:bCs w:val="1"/>
          <w:color w:val="auto"/>
        </w:rPr>
      </w:pPr>
      <w:r>
        <w:rPr>
          <w:rFonts w:ascii="Arial" w:cs="Arial" w:eastAsia="Arial" w:hAnsi="Arial"/>
          <w:sz w:val="20"/>
          <w:szCs w:val="20"/>
          <w:b w:val="1"/>
          <w:bCs w:val="1"/>
          <w:color w:val="auto"/>
        </w:rPr>
        <w:t>Purchase Rights; Purchase Price</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656"/>
        <w:spacing w:after="0" w:line="244" w:lineRule="auto"/>
        <w:tabs>
          <w:tab w:leader="none" w:pos="1076" w:val="left"/>
        </w:tabs>
        <w:numPr>
          <w:ilvl w:val="1"/>
          <w:numId w:val="283"/>
        </w:numPr>
        <w:rPr>
          <w:rFonts w:ascii="Arial" w:cs="Arial" w:eastAsia="Arial" w:hAnsi="Arial"/>
          <w:sz w:val="20"/>
          <w:szCs w:val="20"/>
          <w:b w:val="1"/>
          <w:bCs w:val="1"/>
          <w:color w:val="auto"/>
        </w:rPr>
      </w:pPr>
      <w:r>
        <w:rPr>
          <w:rFonts w:ascii="Arial" w:cs="Arial" w:eastAsia="Arial" w:hAnsi="Arial"/>
          <w:sz w:val="20"/>
          <w:szCs w:val="20"/>
          <w:color w:val="auto"/>
        </w:rPr>
        <w:t>On each Offering Date, each Eligible Employee, pursuant to an Offering made under the Plan, will be granted a Purchase Right to purchase up to that number of shares of Common Stock purchasable either with a percentage of earnings (as such concept is defined in the Offering Document)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194" w:lineRule="exact"/>
        <w:rPr>
          <w:rFonts w:ascii="Arial" w:cs="Arial" w:eastAsia="Arial" w:hAnsi="Arial"/>
          <w:sz w:val="20"/>
          <w:szCs w:val="20"/>
          <w:b w:val="1"/>
          <w:bCs w:val="1"/>
          <w:color w:val="auto"/>
        </w:rPr>
      </w:pPr>
    </w:p>
    <w:p>
      <w:pPr>
        <w:ind w:firstLine="656"/>
        <w:spacing w:after="0" w:line="260" w:lineRule="auto"/>
        <w:tabs>
          <w:tab w:leader="none" w:pos="1128" w:val="left"/>
        </w:tabs>
        <w:numPr>
          <w:ilvl w:val="1"/>
          <w:numId w:val="283"/>
        </w:numPr>
        <w:rPr>
          <w:rFonts w:ascii="Arial" w:cs="Arial" w:eastAsia="Arial" w:hAnsi="Arial"/>
          <w:sz w:val="20"/>
          <w:szCs w:val="20"/>
          <w:b w:val="1"/>
          <w:bCs w:val="1"/>
          <w:color w:val="auto"/>
        </w:rPr>
      </w:pPr>
      <w:r>
        <w:rPr>
          <w:rFonts w:ascii="Arial" w:cs="Arial" w:eastAsia="Arial" w:hAnsi="Arial"/>
          <w:sz w:val="20"/>
          <w:szCs w:val="20"/>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76" w:lineRule="exact"/>
        <w:rPr>
          <w:rFonts w:ascii="Arial" w:cs="Arial" w:eastAsia="Arial" w:hAnsi="Arial"/>
          <w:sz w:val="20"/>
          <w:szCs w:val="20"/>
          <w:b w:val="1"/>
          <w:bCs w:val="1"/>
          <w:color w:val="auto"/>
        </w:rPr>
      </w:pPr>
    </w:p>
    <w:p>
      <w:pPr>
        <w:jc w:val="both"/>
        <w:ind w:firstLine="656"/>
        <w:spacing w:after="0" w:line="274" w:lineRule="auto"/>
        <w:tabs>
          <w:tab w:leader="none" w:pos="1119"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68" w:lineRule="exact"/>
        <w:rPr>
          <w:rFonts w:ascii="Arial" w:cs="Arial" w:eastAsia="Arial" w:hAnsi="Arial"/>
          <w:sz w:val="18"/>
          <w:szCs w:val="18"/>
          <w:b w:val="1"/>
          <w:bCs w:val="1"/>
          <w:color w:val="auto"/>
        </w:rPr>
      </w:pPr>
    </w:p>
    <w:p>
      <w:pPr>
        <w:ind w:left="1100" w:hanging="444"/>
        <w:spacing w:after="0"/>
        <w:tabs>
          <w:tab w:leader="none" w:pos="1100" w:val="left"/>
        </w:tabs>
        <w:numPr>
          <w:ilvl w:val="1"/>
          <w:numId w:val="283"/>
        </w:numPr>
        <w:rPr>
          <w:rFonts w:ascii="Arial" w:cs="Arial" w:eastAsia="Arial" w:hAnsi="Arial"/>
          <w:sz w:val="19"/>
          <w:szCs w:val="19"/>
          <w:b w:val="1"/>
          <w:bCs w:val="1"/>
          <w:color w:val="auto"/>
        </w:rPr>
      </w:pPr>
      <w:r>
        <w:rPr>
          <w:rFonts w:ascii="Arial" w:cs="Arial" w:eastAsia="Arial" w:hAnsi="Arial"/>
          <w:sz w:val="19"/>
          <w:szCs w:val="19"/>
          <w:color w:val="auto"/>
        </w:rPr>
        <w:t>The purchase price of shares of Common Stock acquired pursuant to Purchase Rights will be not less than the lesser of:</w:t>
      </w:r>
    </w:p>
    <w:p>
      <w:pPr>
        <w:spacing w:after="0" w:line="227" w:lineRule="exact"/>
        <w:rPr>
          <w:rFonts w:ascii="Arial" w:cs="Arial" w:eastAsia="Arial" w:hAnsi="Arial"/>
          <w:sz w:val="19"/>
          <w:szCs w:val="19"/>
          <w:b w:val="1"/>
          <w:bCs w:val="1"/>
          <w:color w:val="auto"/>
        </w:rPr>
      </w:pPr>
    </w:p>
    <w:p>
      <w:pPr>
        <w:ind w:left="1680" w:hanging="376"/>
        <w:spacing w:after="0"/>
        <w:tabs>
          <w:tab w:leader="none" w:pos="1680" w:val="left"/>
        </w:tabs>
        <w:numPr>
          <w:ilvl w:val="2"/>
          <w:numId w:val="283"/>
        </w:numPr>
        <w:rPr>
          <w:rFonts w:ascii="Arial" w:cs="Arial" w:eastAsia="Arial" w:hAnsi="Arial"/>
          <w:sz w:val="20"/>
          <w:szCs w:val="20"/>
          <w:b w:val="1"/>
          <w:bCs w:val="1"/>
          <w:color w:val="auto"/>
        </w:rPr>
      </w:pPr>
      <w:r>
        <w:rPr>
          <w:rFonts w:ascii="Arial" w:cs="Arial" w:eastAsia="Arial" w:hAnsi="Arial"/>
          <w:sz w:val="20"/>
          <w:szCs w:val="20"/>
          <w:color w:val="auto"/>
        </w:rPr>
        <w:t>an amount equal to 85% of the Fair Market Value of the shares of Common Stock on the Offering Date; or</w:t>
      </w:r>
    </w:p>
    <w:p>
      <w:pPr>
        <w:spacing w:after="0" w:line="215" w:lineRule="exact"/>
        <w:rPr>
          <w:rFonts w:ascii="Arial" w:cs="Arial" w:eastAsia="Arial" w:hAnsi="Arial"/>
          <w:sz w:val="20"/>
          <w:szCs w:val="20"/>
          <w:b w:val="1"/>
          <w:bCs w:val="1"/>
          <w:color w:val="auto"/>
        </w:rPr>
      </w:pPr>
    </w:p>
    <w:p>
      <w:pPr>
        <w:ind w:left="1740" w:hanging="436"/>
        <w:spacing w:after="0"/>
        <w:tabs>
          <w:tab w:leader="none" w:pos="1740" w:val="left"/>
        </w:tabs>
        <w:numPr>
          <w:ilvl w:val="2"/>
          <w:numId w:val="283"/>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ectPr>
          <w:pgSz w:w="11900" w:h="16838" w:orient="portrait"/>
          <w:cols w:equalWidth="0" w:num="1">
            <w:col w:w="11240"/>
          </w:cols>
          <w:pgMar w:left="320" w:top="1419" w:right="339" w:bottom="1440" w:gutter="0" w:footer="0" w:header="0"/>
        </w:sectPr>
      </w:pPr>
    </w:p>
    <w:bookmarkStart w:id="322" w:name="page323"/>
    <w:bookmarkEnd w:id="322"/>
    <w:p>
      <w:pPr>
        <w:ind w:left="352" w:hanging="352"/>
        <w:spacing w:after="0"/>
        <w:tabs>
          <w:tab w:leader="none" w:pos="352" w:val="left"/>
        </w:tabs>
        <w:numPr>
          <w:ilvl w:val="0"/>
          <w:numId w:val="284"/>
        </w:numPr>
        <w:rPr>
          <w:rFonts w:ascii="Arial" w:cs="Arial" w:eastAsia="Arial" w:hAnsi="Arial"/>
          <w:sz w:val="20"/>
          <w:szCs w:val="20"/>
          <w:b w:val="1"/>
          <w:bCs w:val="1"/>
          <w:color w:val="auto"/>
        </w:rPr>
      </w:pPr>
      <w:r>
        <w:rPr>
          <w:rFonts w:ascii="Arial" w:cs="Arial" w:eastAsia="Arial" w:hAnsi="Arial"/>
          <w:sz w:val="20"/>
          <w:szCs w:val="20"/>
          <w:b w:val="1"/>
          <w:bCs w:val="1"/>
          <w:color w:val="auto"/>
        </w:rPr>
        <w:t>Participation; Withdrawal; Termination</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left="-8" w:firstLine="656"/>
        <w:spacing w:after="0" w:line="271" w:lineRule="auto"/>
        <w:tabs>
          <w:tab w:leader="none" w:pos="1203"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the Participant’s Contributions. If specifically provided in the Offering, in addition to or instead of making Contributions by payroll deductions, a Participant may make Contributions through the payment by cash or check prior to a Purchase Date.</w:t>
      </w:r>
    </w:p>
    <w:p>
      <w:pPr>
        <w:spacing w:after="0" w:line="173" w:lineRule="exact"/>
        <w:rPr>
          <w:rFonts w:ascii="Arial" w:cs="Arial" w:eastAsia="Arial" w:hAnsi="Arial"/>
          <w:sz w:val="18"/>
          <w:szCs w:val="18"/>
          <w:b w:val="1"/>
          <w:bCs w:val="1"/>
          <w:color w:val="auto"/>
        </w:rPr>
      </w:pPr>
    </w:p>
    <w:p>
      <w:pPr>
        <w:jc w:val="both"/>
        <w:ind w:left="-8" w:firstLine="656"/>
        <w:spacing w:after="0" w:line="243" w:lineRule="auto"/>
        <w:tabs>
          <w:tab w:leader="none" w:pos="1201" w:val="left"/>
        </w:tabs>
        <w:numPr>
          <w:ilvl w:val="1"/>
          <w:numId w:val="284"/>
        </w:numPr>
        <w:rPr>
          <w:rFonts w:ascii="Arial" w:cs="Arial" w:eastAsia="Arial" w:hAnsi="Arial"/>
          <w:sz w:val="20"/>
          <w:szCs w:val="20"/>
          <w:b w:val="1"/>
          <w:bCs w:val="1"/>
          <w:color w:val="auto"/>
        </w:rPr>
      </w:pPr>
      <w:r>
        <w:rPr>
          <w:rFonts w:ascii="Arial" w:cs="Arial" w:eastAsia="Arial" w:hAnsi="Arial"/>
          <w:sz w:val="20"/>
          <w:szCs w:val="20"/>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the Participant’s accumulated but unused Contributions and such Participant’s Purchase Right in that Offering shall thereupon terminate. A Participant’s withdrawal from that Offering will have no effect upon the Participant’s eligibility to participate in any other Offerings under the Plan, but such Participant will be required to deliver a new enrollment form to participate in subsequent Offerings.</w:t>
      </w:r>
    </w:p>
    <w:p>
      <w:pPr>
        <w:spacing w:after="0" w:line="192" w:lineRule="exact"/>
        <w:rPr>
          <w:rFonts w:ascii="Arial" w:cs="Arial" w:eastAsia="Arial" w:hAnsi="Arial"/>
          <w:sz w:val="20"/>
          <w:szCs w:val="20"/>
          <w:b w:val="1"/>
          <w:bCs w:val="1"/>
          <w:color w:val="auto"/>
        </w:rPr>
      </w:pPr>
    </w:p>
    <w:p>
      <w:pPr>
        <w:jc w:val="both"/>
        <w:ind w:left="-8" w:firstLine="656"/>
        <w:spacing w:after="0" w:line="246" w:lineRule="auto"/>
        <w:tabs>
          <w:tab w:leader="none" w:pos="1111" w:val="left"/>
        </w:tabs>
        <w:numPr>
          <w:ilvl w:val="1"/>
          <w:numId w:val="284"/>
        </w:numPr>
        <w:rPr>
          <w:rFonts w:ascii="Arial" w:cs="Arial" w:eastAsia="Arial" w:hAnsi="Arial"/>
          <w:sz w:val="20"/>
          <w:szCs w:val="20"/>
          <w:b w:val="1"/>
          <w:bCs w:val="1"/>
          <w:color w:val="auto"/>
        </w:rPr>
      </w:pPr>
      <w:r>
        <w:rPr>
          <w:rFonts w:ascii="Arial" w:cs="Arial" w:eastAsia="Arial" w:hAnsi="Arial"/>
          <w:sz w:val="20"/>
          <w:szCs w:val="20"/>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the individual’s accumulated but unused Contributions.</w:t>
      </w:r>
    </w:p>
    <w:p>
      <w:pPr>
        <w:spacing w:after="0" w:line="191" w:lineRule="exact"/>
        <w:rPr>
          <w:rFonts w:ascii="Arial" w:cs="Arial" w:eastAsia="Arial" w:hAnsi="Arial"/>
          <w:sz w:val="20"/>
          <w:szCs w:val="20"/>
          <w:b w:val="1"/>
          <w:bCs w:val="1"/>
          <w:color w:val="auto"/>
        </w:rPr>
      </w:pPr>
    </w:p>
    <w:p>
      <w:pPr>
        <w:jc w:val="both"/>
        <w:ind w:left="-8" w:firstLine="656"/>
        <w:spacing w:after="0" w:line="250" w:lineRule="auto"/>
        <w:tabs>
          <w:tab w:leader="none" w:pos="1255" w:val="left"/>
        </w:tabs>
        <w:numPr>
          <w:ilvl w:val="1"/>
          <w:numId w:val="284"/>
        </w:numPr>
        <w:rPr>
          <w:rFonts w:ascii="Arial" w:cs="Arial" w:eastAsia="Arial" w:hAnsi="Arial"/>
          <w:sz w:val="20"/>
          <w:szCs w:val="20"/>
          <w:b w:val="1"/>
          <w:bCs w:val="1"/>
          <w:color w:val="auto"/>
        </w:rPr>
      </w:pPr>
      <w:r>
        <w:rPr>
          <w:rFonts w:ascii="Arial" w:cs="Arial" w:eastAsia="Arial" w:hAnsi="Arial"/>
          <w:sz w:val="20"/>
          <w:szCs w:val="20"/>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85" w:lineRule="exact"/>
        <w:rPr>
          <w:rFonts w:ascii="Arial" w:cs="Arial" w:eastAsia="Arial" w:hAnsi="Arial"/>
          <w:sz w:val="20"/>
          <w:szCs w:val="20"/>
          <w:b w:val="1"/>
          <w:bCs w:val="1"/>
          <w:color w:val="auto"/>
        </w:rPr>
      </w:pPr>
    </w:p>
    <w:p>
      <w:pPr>
        <w:ind w:left="-8" w:right="20" w:firstLine="656"/>
        <w:spacing w:after="0" w:line="260" w:lineRule="auto"/>
        <w:tabs>
          <w:tab w:leader="none" w:pos="1057" w:val="left"/>
        </w:tabs>
        <w:numPr>
          <w:ilvl w:val="1"/>
          <w:numId w:val="284"/>
        </w:numPr>
        <w:rPr>
          <w:rFonts w:ascii="Arial" w:cs="Arial" w:eastAsia="Arial" w:hAnsi="Arial"/>
          <w:sz w:val="20"/>
          <w:szCs w:val="20"/>
          <w:b w:val="1"/>
          <w:bCs w:val="1"/>
          <w:color w:val="auto"/>
        </w:rPr>
      </w:pPr>
      <w:r>
        <w:rPr>
          <w:rFonts w:ascii="Arial" w:cs="Arial" w:eastAsia="Arial" w:hAnsi="Arial"/>
          <w:sz w:val="20"/>
          <w:szCs w:val="20"/>
          <w:color w:val="auto"/>
        </w:rPr>
        <w:t>Unless otherwise specified in the Offering or required by applicable law, the Company will have no obligation to pay interest on Contributions.</w:t>
      </w:r>
    </w:p>
    <w:p>
      <w:pPr>
        <w:spacing w:after="0" w:line="170" w:lineRule="exact"/>
        <w:rPr>
          <w:rFonts w:ascii="Arial" w:cs="Arial" w:eastAsia="Arial" w:hAnsi="Arial"/>
          <w:sz w:val="20"/>
          <w:szCs w:val="20"/>
          <w:b w:val="1"/>
          <w:bCs w:val="1"/>
          <w:color w:val="auto"/>
        </w:rPr>
      </w:pPr>
    </w:p>
    <w:p>
      <w:pPr>
        <w:ind w:left="352" w:hanging="352"/>
        <w:spacing w:after="0"/>
        <w:tabs>
          <w:tab w:leader="none" w:pos="352" w:val="left"/>
        </w:tabs>
        <w:numPr>
          <w:ilvl w:val="0"/>
          <w:numId w:val="284"/>
        </w:numPr>
        <w:rPr>
          <w:rFonts w:ascii="Arial" w:cs="Arial" w:eastAsia="Arial" w:hAnsi="Arial"/>
          <w:sz w:val="20"/>
          <w:szCs w:val="20"/>
          <w:b w:val="1"/>
          <w:bCs w:val="1"/>
          <w:color w:val="auto"/>
        </w:rPr>
      </w:pPr>
      <w:r>
        <w:rPr>
          <w:rFonts w:ascii="Arial" w:cs="Arial" w:eastAsia="Arial" w:hAnsi="Arial"/>
          <w:sz w:val="20"/>
          <w:szCs w:val="20"/>
          <w:b w:val="1"/>
          <w:bCs w:val="1"/>
          <w:color w:val="auto"/>
        </w:rPr>
        <w:t>Exercise of Purchase Rights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left="-8" w:firstLine="656"/>
        <w:spacing w:after="0" w:line="250" w:lineRule="auto"/>
        <w:tabs>
          <w:tab w:leader="none" w:pos="1136" w:val="left"/>
        </w:tabs>
        <w:numPr>
          <w:ilvl w:val="1"/>
          <w:numId w:val="284"/>
        </w:numPr>
        <w:rPr>
          <w:rFonts w:ascii="Arial" w:cs="Arial" w:eastAsia="Arial" w:hAnsi="Arial"/>
          <w:sz w:val="20"/>
          <w:szCs w:val="20"/>
          <w:b w:val="1"/>
          <w:bCs w:val="1"/>
          <w:color w:val="auto"/>
        </w:rPr>
      </w:pPr>
      <w:r>
        <w:rPr>
          <w:rFonts w:ascii="Arial" w:cs="Arial" w:eastAsia="Arial" w:hAnsi="Arial"/>
          <w:sz w:val="20"/>
          <w:szCs w:val="20"/>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85" w:lineRule="exact"/>
        <w:rPr>
          <w:rFonts w:ascii="Arial" w:cs="Arial" w:eastAsia="Arial" w:hAnsi="Arial"/>
          <w:sz w:val="20"/>
          <w:szCs w:val="20"/>
          <w:b w:val="1"/>
          <w:bCs w:val="1"/>
          <w:color w:val="auto"/>
        </w:rPr>
      </w:pPr>
    </w:p>
    <w:p>
      <w:pPr>
        <w:jc w:val="both"/>
        <w:ind w:left="-8" w:firstLine="656"/>
        <w:spacing w:after="0" w:line="250" w:lineRule="auto"/>
        <w:tabs>
          <w:tab w:leader="none" w:pos="1093" w:val="left"/>
        </w:tabs>
        <w:numPr>
          <w:ilvl w:val="1"/>
          <w:numId w:val="284"/>
        </w:numPr>
        <w:rPr>
          <w:rFonts w:ascii="Arial" w:cs="Arial" w:eastAsia="Arial" w:hAnsi="Arial"/>
          <w:sz w:val="20"/>
          <w:szCs w:val="20"/>
          <w:b w:val="1"/>
          <w:bCs w:val="1"/>
          <w:color w:val="auto"/>
        </w:rPr>
      </w:pPr>
      <w:r>
        <w:rPr>
          <w:rFonts w:ascii="Arial" w:cs="Arial" w:eastAsia="Arial" w:hAnsi="Arial"/>
          <w:sz w:val="20"/>
          <w:szCs w:val="20"/>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w:t>
      </w:r>
    </w:p>
    <w:p>
      <w:pPr>
        <w:sectPr>
          <w:pgSz w:w="11900" w:h="16838" w:orient="portrait"/>
          <w:cols w:equalWidth="0" w:num="1">
            <w:col w:w="11232"/>
          </w:cols>
          <w:pgMar w:left="328" w:top="1413" w:right="339" w:bottom="1440" w:gutter="0" w:footer="0" w:header="0"/>
        </w:sectPr>
      </w:pPr>
    </w:p>
    <w:bookmarkStart w:id="323" w:name="page324"/>
    <w:bookmarkEnd w:id="323"/>
    <w:p>
      <w:pPr>
        <w:jc w:val="both"/>
        <w:spacing w:after="0" w:line="243" w:lineRule="auto"/>
        <w:rPr>
          <w:sz w:val="20"/>
          <w:szCs w:val="20"/>
          <w:color w:val="auto"/>
        </w:rPr>
      </w:pPr>
      <w:r>
        <w:rPr>
          <w:rFonts w:ascii="Arial" w:cs="Arial" w:eastAsia="Arial" w:hAnsi="Arial"/>
          <w:sz w:val="20"/>
          <w:szCs w:val="20"/>
          <w:color w:val="auto"/>
        </w:rPr>
        <w:t>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w:t>
      </w:r>
    </w:p>
    <w:p>
      <w:pPr>
        <w:spacing w:after="0" w:line="193" w:lineRule="exact"/>
        <w:rPr>
          <w:sz w:val="20"/>
          <w:szCs w:val="20"/>
          <w:color w:val="auto"/>
        </w:rPr>
      </w:pPr>
    </w:p>
    <w:p>
      <w:pPr>
        <w:jc w:val="both"/>
        <w:ind w:firstLine="656"/>
        <w:spacing w:after="0" w:line="256" w:lineRule="auto"/>
        <w:tabs>
          <w:tab w:leader="none" w:pos="1092" w:val="left"/>
        </w:tabs>
        <w:numPr>
          <w:ilvl w:val="1"/>
          <w:numId w:val="285"/>
        </w:numPr>
        <w:rPr>
          <w:rFonts w:ascii="Arial" w:cs="Arial" w:eastAsia="Arial" w:hAnsi="Arial"/>
          <w:sz w:val="19"/>
          <w:szCs w:val="19"/>
          <w:b w:val="1"/>
          <w:bCs w:val="1"/>
          <w:color w:val="auto"/>
        </w:rPr>
      </w:pPr>
      <w:r>
        <w:rPr>
          <w:rFonts w:ascii="Arial" w:cs="Arial" w:eastAsia="Arial" w:hAnsi="Arial"/>
          <w:sz w:val="19"/>
          <w:szCs w:val="19"/>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no Purchase Rights will be exercised and all accumulated but unused Contributions will be distributed to the Participants without interest.</w:t>
      </w:r>
    </w:p>
    <w:p>
      <w:pPr>
        <w:spacing w:after="0" w:line="178" w:lineRule="exact"/>
        <w:rPr>
          <w:rFonts w:ascii="Arial" w:cs="Arial" w:eastAsia="Arial" w:hAnsi="Arial"/>
          <w:sz w:val="19"/>
          <w:szCs w:val="19"/>
          <w:b w:val="1"/>
          <w:bCs w:val="1"/>
          <w:color w:val="auto"/>
        </w:rPr>
      </w:pPr>
    </w:p>
    <w:p>
      <w:pPr>
        <w:ind w:left="360" w:hanging="352"/>
        <w:spacing w:after="0"/>
        <w:tabs>
          <w:tab w:leader="none" w:pos="360" w:val="left"/>
        </w:tabs>
        <w:numPr>
          <w:ilvl w:val="0"/>
          <w:numId w:val="286"/>
        </w:numPr>
        <w:rPr>
          <w:rFonts w:ascii="Arial" w:cs="Arial" w:eastAsia="Arial" w:hAnsi="Arial"/>
          <w:sz w:val="20"/>
          <w:szCs w:val="20"/>
          <w:b w:val="1"/>
          <w:bCs w:val="1"/>
          <w:color w:val="auto"/>
        </w:rPr>
      </w:pPr>
      <w:r>
        <w:rPr>
          <w:rFonts w:ascii="Arial" w:cs="Arial" w:eastAsia="Arial" w:hAnsi="Arial"/>
          <w:sz w:val="20"/>
          <w:szCs w:val="20"/>
          <w:b w:val="1"/>
          <w:bCs w:val="1"/>
          <w:color w:val="auto"/>
        </w:rPr>
        <w:t>Covenants of the Company</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87" w:lineRule="exact"/>
        <w:rPr>
          <w:sz w:val="20"/>
          <w:szCs w:val="20"/>
          <w:color w:val="auto"/>
        </w:rPr>
      </w:pPr>
    </w:p>
    <w:p>
      <w:pPr>
        <w:ind w:left="460" w:hanging="452"/>
        <w:spacing w:after="0"/>
        <w:tabs>
          <w:tab w:leader="none" w:pos="460" w:val="left"/>
        </w:tabs>
        <w:numPr>
          <w:ilvl w:val="0"/>
          <w:numId w:val="287"/>
        </w:numPr>
        <w:rPr>
          <w:rFonts w:ascii="Arial" w:cs="Arial" w:eastAsia="Arial" w:hAnsi="Arial"/>
          <w:sz w:val="20"/>
          <w:szCs w:val="20"/>
          <w:b w:val="1"/>
          <w:bCs w:val="1"/>
          <w:color w:val="auto"/>
        </w:rPr>
      </w:pPr>
      <w:r>
        <w:rPr>
          <w:rFonts w:ascii="Arial" w:cs="Arial" w:eastAsia="Arial" w:hAnsi="Arial"/>
          <w:sz w:val="20"/>
          <w:szCs w:val="20"/>
          <w:b w:val="1"/>
          <w:bCs w:val="1"/>
          <w:color w:val="auto"/>
        </w:rPr>
        <w:t>Designation of Beneficiary</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656"/>
        <w:spacing w:after="0" w:line="263" w:lineRule="auto"/>
        <w:tabs>
          <w:tab w:leader="none" w:pos="1076" w:val="left"/>
        </w:tabs>
        <w:numPr>
          <w:ilvl w:val="1"/>
          <w:numId w:val="287"/>
        </w:numPr>
        <w:rPr>
          <w:rFonts w:ascii="Arial" w:cs="Arial" w:eastAsia="Arial" w:hAnsi="Arial"/>
          <w:sz w:val="19"/>
          <w:szCs w:val="19"/>
          <w:b w:val="1"/>
          <w:bCs w:val="1"/>
          <w:color w:val="auto"/>
        </w:rPr>
      </w:pPr>
      <w:r>
        <w:rPr>
          <w:rFonts w:ascii="Arial" w:cs="Arial" w:eastAsia="Arial" w:hAnsi="Arial"/>
          <w:sz w:val="19"/>
          <w:szCs w:val="19"/>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76" w:lineRule="exact"/>
        <w:rPr>
          <w:rFonts w:ascii="Arial" w:cs="Arial" w:eastAsia="Arial" w:hAnsi="Arial"/>
          <w:sz w:val="19"/>
          <w:szCs w:val="19"/>
          <w:b w:val="1"/>
          <w:bCs w:val="1"/>
          <w:color w:val="auto"/>
        </w:rPr>
      </w:pPr>
    </w:p>
    <w:p>
      <w:pPr>
        <w:jc w:val="both"/>
        <w:ind w:firstLine="656"/>
        <w:spacing w:after="0" w:line="263" w:lineRule="auto"/>
        <w:tabs>
          <w:tab w:leader="none" w:pos="1142" w:val="left"/>
        </w:tabs>
        <w:numPr>
          <w:ilvl w:val="1"/>
          <w:numId w:val="287"/>
        </w:numPr>
        <w:rPr>
          <w:rFonts w:ascii="Arial" w:cs="Arial" w:eastAsia="Arial" w:hAnsi="Arial"/>
          <w:sz w:val="19"/>
          <w:szCs w:val="19"/>
          <w:b w:val="1"/>
          <w:bCs w:val="1"/>
          <w:color w:val="auto"/>
        </w:rPr>
      </w:pPr>
      <w:r>
        <w:rPr>
          <w:rFonts w:ascii="Arial" w:cs="Arial" w:eastAsia="Arial" w:hAnsi="Arial"/>
          <w:sz w:val="19"/>
          <w:szCs w:val="19"/>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w:t>
      </w:r>
    </w:p>
    <w:p>
      <w:pPr>
        <w:sectPr>
          <w:pgSz w:w="11900" w:h="16838" w:orient="portrait"/>
          <w:cols w:equalWidth="0" w:num="1">
            <w:col w:w="11240"/>
          </w:cols>
          <w:pgMar w:left="320" w:top="1419" w:right="339" w:bottom="1440" w:gutter="0" w:footer="0" w:header="0"/>
        </w:sectPr>
      </w:pPr>
    </w:p>
    <w:bookmarkStart w:id="324" w:name="page325"/>
    <w:bookmarkEnd w:id="324"/>
    <w:p>
      <w:pPr>
        <w:spacing w:after="0" w:line="260" w:lineRule="auto"/>
        <w:rPr>
          <w:sz w:val="20"/>
          <w:szCs w:val="20"/>
          <w:color w:val="auto"/>
        </w:rPr>
      </w:pPr>
      <w:r>
        <w:rPr>
          <w:rFonts w:ascii="Arial" w:cs="Arial" w:eastAsia="Arial" w:hAnsi="Arial"/>
          <w:sz w:val="20"/>
          <w:szCs w:val="20"/>
          <w:color w:val="auto"/>
        </w:rPr>
        <w:t>the Participant’s spouse, dependents or relatives, or if no spouse, dependent or relative is known to the Company, then to such other person as the Company may designate.</w:t>
      </w:r>
    </w:p>
    <w:p>
      <w:pPr>
        <w:spacing w:after="0" w:line="171" w:lineRule="exact"/>
        <w:rPr>
          <w:sz w:val="20"/>
          <w:szCs w:val="20"/>
          <w:color w:val="auto"/>
        </w:rPr>
      </w:pPr>
    </w:p>
    <w:p>
      <w:pPr>
        <w:ind w:left="440" w:hanging="432"/>
        <w:spacing w:after="0"/>
        <w:tabs>
          <w:tab w:leader="none" w:pos="440" w:val="left"/>
        </w:tabs>
        <w:numPr>
          <w:ilvl w:val="0"/>
          <w:numId w:val="288"/>
        </w:numPr>
        <w:rPr>
          <w:rFonts w:ascii="Arial" w:cs="Arial" w:eastAsia="Arial" w:hAnsi="Arial"/>
          <w:sz w:val="20"/>
          <w:szCs w:val="20"/>
          <w:b w:val="1"/>
          <w:bCs w:val="1"/>
          <w:color w:val="auto"/>
        </w:rPr>
      </w:pPr>
      <w:r>
        <w:rPr>
          <w:rFonts w:ascii="Arial" w:cs="Arial" w:eastAsia="Arial" w:hAnsi="Arial"/>
          <w:sz w:val="20"/>
          <w:szCs w:val="20"/>
          <w:b w:val="1"/>
          <w:bCs w:val="1"/>
          <w:color w:val="auto"/>
        </w:rPr>
        <w:t>Adjustments upon Changes in Common Stock; Corporate Transactions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656"/>
        <w:spacing w:after="0" w:line="243" w:lineRule="auto"/>
        <w:tabs>
          <w:tab w:leader="none" w:pos="1184" w:val="left"/>
        </w:tabs>
        <w:numPr>
          <w:ilvl w:val="1"/>
          <w:numId w:val="288"/>
        </w:numPr>
        <w:rPr>
          <w:rFonts w:ascii="Arial" w:cs="Arial" w:eastAsia="Arial" w:hAnsi="Arial"/>
          <w:sz w:val="20"/>
          <w:szCs w:val="20"/>
          <w:b w:val="1"/>
          <w:bCs w:val="1"/>
          <w:color w:val="auto"/>
        </w:rPr>
      </w:pPr>
      <w:r>
        <w:rPr>
          <w:rFonts w:ascii="Arial" w:cs="Arial" w:eastAsia="Arial" w:hAnsi="Arial"/>
          <w:sz w:val="20"/>
          <w:szCs w:val="20"/>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95" w:lineRule="exact"/>
        <w:rPr>
          <w:rFonts w:ascii="Arial" w:cs="Arial" w:eastAsia="Arial" w:hAnsi="Arial"/>
          <w:sz w:val="20"/>
          <w:szCs w:val="20"/>
          <w:b w:val="1"/>
          <w:bCs w:val="1"/>
          <w:color w:val="auto"/>
        </w:rPr>
      </w:pPr>
    </w:p>
    <w:p>
      <w:pPr>
        <w:jc w:val="both"/>
        <w:ind w:firstLine="656"/>
        <w:spacing w:after="0" w:line="243" w:lineRule="auto"/>
        <w:tabs>
          <w:tab w:leader="none" w:pos="1196" w:val="left"/>
        </w:tabs>
        <w:numPr>
          <w:ilvl w:val="1"/>
          <w:numId w:val="288"/>
        </w:numPr>
        <w:rPr>
          <w:rFonts w:ascii="Arial" w:cs="Arial" w:eastAsia="Arial" w:hAnsi="Arial"/>
          <w:sz w:val="20"/>
          <w:szCs w:val="20"/>
          <w:b w:val="1"/>
          <w:bCs w:val="1"/>
          <w:color w:val="auto"/>
        </w:rPr>
      </w:pPr>
      <w:r>
        <w:rPr>
          <w:rFonts w:ascii="Arial" w:cs="Arial" w:eastAsia="Arial" w:hAnsi="Arial"/>
          <w:sz w:val="20"/>
          <w:szCs w:val="20"/>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186" w:lineRule="exact"/>
        <w:rPr>
          <w:rFonts w:ascii="Arial" w:cs="Arial" w:eastAsia="Arial" w:hAnsi="Arial"/>
          <w:sz w:val="20"/>
          <w:szCs w:val="20"/>
          <w:b w:val="1"/>
          <w:bCs w:val="1"/>
          <w:color w:val="auto"/>
        </w:rPr>
      </w:pPr>
    </w:p>
    <w:p>
      <w:pPr>
        <w:ind w:left="440" w:hanging="432"/>
        <w:spacing w:after="0"/>
        <w:tabs>
          <w:tab w:leader="none" w:pos="440" w:val="left"/>
        </w:tabs>
        <w:numPr>
          <w:ilvl w:val="0"/>
          <w:numId w:val="288"/>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Termination or Suspension of the Plan</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656"/>
        <w:spacing w:after="0" w:line="250" w:lineRule="auto"/>
        <w:tabs>
          <w:tab w:leader="none" w:pos="1184" w:val="left"/>
        </w:tabs>
        <w:numPr>
          <w:ilvl w:val="1"/>
          <w:numId w:val="288"/>
        </w:numPr>
        <w:rPr>
          <w:rFonts w:ascii="Arial" w:cs="Arial" w:eastAsia="Arial" w:hAnsi="Arial"/>
          <w:sz w:val="20"/>
          <w:szCs w:val="20"/>
          <w:b w:val="1"/>
          <w:bCs w:val="1"/>
          <w:color w:val="auto"/>
        </w:rPr>
      </w:pPr>
      <w:r>
        <w:rPr>
          <w:rFonts w:ascii="Arial" w:cs="Arial" w:eastAsia="Arial" w:hAnsi="Arial"/>
          <w:sz w:val="20"/>
          <w:szCs w:val="20"/>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or listing requirements.</w:t>
      </w:r>
    </w:p>
    <w:p>
      <w:pPr>
        <w:spacing w:after="0" w:line="185" w:lineRule="exact"/>
        <w:rPr>
          <w:rFonts w:ascii="Arial" w:cs="Arial" w:eastAsia="Arial" w:hAnsi="Arial"/>
          <w:sz w:val="20"/>
          <w:szCs w:val="20"/>
          <w:b w:val="1"/>
          <w:bCs w:val="1"/>
          <w:color w:val="auto"/>
        </w:rPr>
      </w:pPr>
    </w:p>
    <w:p>
      <w:pPr>
        <w:ind w:firstLine="656"/>
        <w:spacing w:after="0" w:line="260" w:lineRule="auto"/>
        <w:tabs>
          <w:tab w:leader="none" w:pos="1101" w:val="left"/>
        </w:tabs>
        <w:numPr>
          <w:ilvl w:val="1"/>
          <w:numId w:val="288"/>
        </w:numPr>
        <w:rPr>
          <w:rFonts w:ascii="Arial" w:cs="Arial" w:eastAsia="Arial" w:hAnsi="Arial"/>
          <w:sz w:val="20"/>
          <w:szCs w:val="20"/>
          <w:b w:val="1"/>
          <w:bCs w:val="1"/>
          <w:color w:val="auto"/>
        </w:rPr>
      </w:pPr>
      <w:r>
        <w:rPr>
          <w:rFonts w:ascii="Arial" w:cs="Arial" w:eastAsia="Arial" w:hAnsi="Arial"/>
          <w:sz w:val="20"/>
          <w:szCs w:val="20"/>
          <w:color w:val="auto"/>
        </w:rPr>
        <w:t>The Board may suspend or terminate the Plan at any time. No Purchase Rights may be granted under the Plan while the Plan is suspended or after it is terminated.</w:t>
      </w:r>
    </w:p>
    <w:p>
      <w:pPr>
        <w:spacing w:after="0" w:line="176" w:lineRule="exact"/>
        <w:rPr>
          <w:rFonts w:ascii="Arial" w:cs="Arial" w:eastAsia="Arial" w:hAnsi="Arial"/>
          <w:sz w:val="20"/>
          <w:szCs w:val="20"/>
          <w:b w:val="1"/>
          <w:bCs w:val="1"/>
          <w:color w:val="auto"/>
        </w:rPr>
      </w:pPr>
    </w:p>
    <w:p>
      <w:pPr>
        <w:jc w:val="both"/>
        <w:ind w:firstLine="656"/>
        <w:spacing w:after="0" w:line="273" w:lineRule="auto"/>
        <w:tabs>
          <w:tab w:leader="none" w:pos="1133" w:val="left"/>
        </w:tabs>
        <w:numPr>
          <w:ilvl w:val="1"/>
          <w:numId w:val="288"/>
        </w:numPr>
        <w:rPr>
          <w:rFonts w:ascii="Arial" w:cs="Arial" w:eastAsia="Arial" w:hAnsi="Arial"/>
          <w:sz w:val="18"/>
          <w:szCs w:val="18"/>
          <w:b w:val="1"/>
          <w:bCs w:val="1"/>
          <w:color w:val="auto"/>
        </w:rPr>
      </w:pPr>
      <w:r>
        <w:rPr>
          <w:rFonts w:ascii="Arial" w:cs="Arial" w:eastAsia="Arial" w:hAnsi="Arial"/>
          <w:sz w:val="18"/>
          <w:szCs w:val="18"/>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w:t>
      </w:r>
    </w:p>
    <w:p>
      <w:pPr>
        <w:sectPr>
          <w:pgSz w:w="11900" w:h="16838" w:orient="portrait"/>
          <w:cols w:equalWidth="0" w:num="1">
            <w:col w:w="11240"/>
          </w:cols>
          <w:pgMar w:left="320" w:top="1419" w:right="339" w:bottom="1440" w:gutter="0" w:footer="0" w:header="0"/>
        </w:sectPr>
      </w:pPr>
    </w:p>
    <w:bookmarkStart w:id="325" w:name="page326"/>
    <w:bookmarkEnd w:id="325"/>
    <w:p>
      <w:pPr>
        <w:jc w:val="both"/>
        <w:spacing w:after="0" w:line="243" w:lineRule="auto"/>
        <w:rPr>
          <w:sz w:val="20"/>
          <w:szCs w:val="20"/>
          <w:color w:val="auto"/>
        </w:rPr>
      </w:pPr>
      <w:r>
        <w:rPr>
          <w:rFonts w:ascii="Arial" w:cs="Arial" w:eastAsia="Arial" w:hAnsi="Arial"/>
          <w:sz w:val="20"/>
          <w:szCs w:val="20"/>
          <w:color w:val="auto"/>
        </w:rPr>
        <w:t>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9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Effective Date of Plan</w:t>
      </w:r>
      <w:r>
        <w:rPr>
          <w:rFonts w:ascii="Arial" w:cs="Arial" w:eastAsia="Arial" w:hAnsi="Arial"/>
          <w:sz w:val="16"/>
          <w:szCs w:val="16"/>
          <w:color w:val="auto"/>
        </w:rPr>
        <w:t>.</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164"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 Provisions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ind w:left="1080" w:hanging="424"/>
        <w:spacing w:after="0"/>
        <w:tabs>
          <w:tab w:leader="none" w:pos="1080"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Proceeds from the sale of shares of Common Stock pursuant to Purchase Rights will constitute general funds of the Company.</w:t>
      </w:r>
    </w:p>
    <w:p>
      <w:pPr>
        <w:spacing w:after="0" w:line="238" w:lineRule="exact"/>
        <w:rPr>
          <w:rFonts w:ascii="Arial" w:cs="Arial" w:eastAsia="Arial" w:hAnsi="Arial"/>
          <w:sz w:val="18"/>
          <w:szCs w:val="18"/>
          <w:b w:val="1"/>
          <w:bCs w:val="1"/>
          <w:color w:val="auto"/>
        </w:rPr>
      </w:pPr>
    </w:p>
    <w:p>
      <w:pPr>
        <w:jc w:val="both"/>
        <w:ind w:firstLine="656"/>
        <w:spacing w:after="0" w:line="250" w:lineRule="auto"/>
        <w:tabs>
          <w:tab w:leader="none" w:pos="1080" w:val="left"/>
        </w:tabs>
        <w:numPr>
          <w:ilvl w:val="1"/>
          <w:numId w:val="289"/>
        </w:numPr>
        <w:rPr>
          <w:rFonts w:ascii="Arial" w:cs="Arial" w:eastAsia="Arial" w:hAnsi="Arial"/>
          <w:sz w:val="20"/>
          <w:szCs w:val="20"/>
          <w:color w:val="auto"/>
        </w:rPr>
      </w:pPr>
      <w:r>
        <w:rPr>
          <w:rFonts w:ascii="Arial" w:cs="Arial" w:eastAsia="Arial" w:hAnsi="Arial"/>
          <w:sz w:val="20"/>
          <w:szCs w:val="20"/>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86" w:lineRule="exact"/>
        <w:rPr>
          <w:sz w:val="20"/>
          <w:szCs w:val="20"/>
          <w:color w:val="auto"/>
        </w:rPr>
      </w:pPr>
    </w:p>
    <w:p>
      <w:pPr>
        <w:jc w:val="both"/>
        <w:ind w:firstLine="656"/>
        <w:spacing w:after="0" w:line="246" w:lineRule="auto"/>
        <w:tabs>
          <w:tab w:leader="none" w:pos="1128" w:val="left"/>
        </w:tabs>
        <w:numPr>
          <w:ilvl w:val="1"/>
          <w:numId w:val="290"/>
        </w:numPr>
        <w:rPr>
          <w:rFonts w:ascii="Arial" w:cs="Arial" w:eastAsia="Arial" w:hAnsi="Arial"/>
          <w:sz w:val="20"/>
          <w:szCs w:val="20"/>
          <w:b w:val="1"/>
          <w:bCs w:val="1"/>
          <w:color w:val="auto"/>
        </w:rPr>
      </w:pPr>
      <w:r>
        <w:rPr>
          <w:rFonts w:ascii="Arial" w:cs="Arial" w:eastAsia="Arial" w:hAnsi="Arial"/>
          <w:sz w:val="20"/>
          <w:szCs w:val="20"/>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91" w:lineRule="exact"/>
        <w:rPr>
          <w:rFonts w:ascii="Arial" w:cs="Arial" w:eastAsia="Arial" w:hAnsi="Arial"/>
          <w:sz w:val="20"/>
          <w:szCs w:val="20"/>
          <w:b w:val="1"/>
          <w:bCs w:val="1"/>
          <w:color w:val="auto"/>
        </w:rPr>
      </w:pPr>
    </w:p>
    <w:p>
      <w:pPr>
        <w:ind w:left="1100" w:hanging="444"/>
        <w:spacing w:after="0"/>
        <w:tabs>
          <w:tab w:leader="none" w:pos="1100"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The provisions of the Plan will be governed by the laws of the State of Delaware without resort to that state’s conflict of laws</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rules.</w:t>
      </w:r>
    </w:p>
    <w:p>
      <w:pPr>
        <w:spacing w:after="0" w:line="193" w:lineRule="exact"/>
        <w:rPr>
          <w:rFonts w:ascii="Arial" w:cs="Arial" w:eastAsia="Arial" w:hAnsi="Arial"/>
          <w:sz w:val="18"/>
          <w:szCs w:val="18"/>
          <w:b w:val="1"/>
          <w:bCs w:val="1"/>
          <w:color w:val="auto"/>
        </w:rPr>
      </w:pPr>
    </w:p>
    <w:p>
      <w:pPr>
        <w:ind w:left="460" w:hanging="452"/>
        <w:spacing w:after="0"/>
        <w:tabs>
          <w:tab w:leader="none" w:pos="460" w:val="left"/>
        </w:tabs>
        <w:numPr>
          <w:ilvl w:val="0"/>
          <w:numId w:val="291"/>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the Plan, the following definitions will apply to the capitalized terms indicated below:</w:t>
      </w:r>
    </w:p>
    <w:p>
      <w:pPr>
        <w:spacing w:after="0" w:line="216" w:lineRule="exact"/>
        <w:rPr>
          <w:sz w:val="20"/>
          <w:szCs w:val="20"/>
          <w:color w:val="auto"/>
        </w:rPr>
      </w:pPr>
    </w:p>
    <w:p>
      <w:pPr>
        <w:ind w:left="1080" w:hanging="424"/>
        <w:spacing w:after="0"/>
        <w:tabs>
          <w:tab w:leader="none" w:pos="1080" w:val="left"/>
        </w:tabs>
        <w:numPr>
          <w:ilvl w:val="0"/>
          <w:numId w:val="29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the Company.</w:t>
      </w:r>
    </w:p>
    <w:p>
      <w:pPr>
        <w:spacing w:after="0" w:line="215" w:lineRule="exact"/>
        <w:rPr>
          <w:rFonts w:ascii="Arial" w:cs="Arial" w:eastAsia="Arial" w:hAnsi="Arial"/>
          <w:sz w:val="20"/>
          <w:szCs w:val="20"/>
          <w:b w:val="1"/>
          <w:bCs w:val="1"/>
          <w:color w:val="auto"/>
        </w:rPr>
      </w:pPr>
    </w:p>
    <w:p>
      <w:pPr>
        <w:ind w:left="1100" w:hanging="444"/>
        <w:spacing w:after="0"/>
        <w:tabs>
          <w:tab w:leader="none" w:pos="1100" w:val="left"/>
        </w:tabs>
        <w:numPr>
          <w:ilvl w:val="0"/>
          <w:numId w:val="29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Stock</w:t>
      </w:r>
      <w:r>
        <w:rPr>
          <w:rFonts w:ascii="Arial" w:cs="Arial" w:eastAsia="Arial" w:hAnsi="Arial"/>
          <w:sz w:val="19"/>
          <w:szCs w:val="19"/>
          <w:color w:val="auto"/>
        </w:rPr>
        <w:t>” means each and every class of stock of the Company, regardless of the number of votes per share.</w:t>
      </w:r>
    </w:p>
    <w:p>
      <w:pPr>
        <w:spacing w:after="0" w:line="227" w:lineRule="exact"/>
        <w:rPr>
          <w:rFonts w:ascii="Arial" w:cs="Arial" w:eastAsia="Arial" w:hAnsi="Arial"/>
          <w:sz w:val="19"/>
          <w:szCs w:val="19"/>
          <w:b w:val="1"/>
          <w:bCs w:val="1"/>
          <w:color w:val="auto"/>
        </w:rPr>
      </w:pPr>
    </w:p>
    <w:p>
      <w:pPr>
        <w:jc w:val="both"/>
        <w:ind w:firstLine="656"/>
        <w:spacing w:after="0" w:line="244" w:lineRule="auto"/>
        <w:tabs>
          <w:tab w:leader="none" w:pos="1092" w:val="left"/>
        </w:tabs>
        <w:numPr>
          <w:ilvl w:val="0"/>
          <w:numId w:val="29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Capitalization Adjustment</w:t>
      </w:r>
      <w:r>
        <w:rPr>
          <w:rFonts w:ascii="Arial" w:cs="Arial" w:eastAsia="Arial" w:hAnsi="Arial"/>
          <w:sz w:val="20"/>
          <w:szCs w:val="20"/>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w:t>
      </w:r>
    </w:p>
    <w:p>
      <w:pPr>
        <w:sectPr>
          <w:pgSz w:w="11900" w:h="16838" w:orient="portrait"/>
          <w:cols w:equalWidth="0" w:num="1">
            <w:col w:w="11240"/>
          </w:cols>
          <w:pgMar w:left="320" w:top="1419" w:right="339" w:bottom="1440" w:gutter="0" w:footer="0" w:header="0"/>
        </w:sectPr>
      </w:pPr>
    </w:p>
    <w:bookmarkStart w:id="326" w:name="page327"/>
    <w:bookmarkEnd w:id="326"/>
    <w:p>
      <w:pPr>
        <w:jc w:val="both"/>
        <w:spacing w:after="0" w:line="250" w:lineRule="auto"/>
        <w:rPr>
          <w:sz w:val="20"/>
          <w:szCs w:val="20"/>
          <w:color w:val="auto"/>
        </w:rPr>
      </w:pPr>
      <w:r>
        <w:rPr>
          <w:rFonts w:ascii="Arial" w:cs="Arial" w:eastAsia="Arial" w:hAnsi="Arial"/>
          <w:sz w:val="20"/>
          <w:szCs w:val="20"/>
          <w:color w:val="auto"/>
        </w:rPr>
        <w:t>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6" w:lineRule="exact"/>
        <w:rPr>
          <w:sz w:val="20"/>
          <w:szCs w:val="20"/>
          <w:color w:val="auto"/>
        </w:rPr>
      </w:pPr>
    </w:p>
    <w:p>
      <w:pPr>
        <w:ind w:left="1100" w:hanging="444"/>
        <w:spacing w:after="0"/>
        <w:tabs>
          <w:tab w:leader="none" w:pos="1100" w:val="left"/>
        </w:tabs>
        <w:numPr>
          <w:ilvl w:val="0"/>
          <w:numId w:val="29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including any applicable regulations and guidance thereunder.</w:t>
      </w:r>
    </w:p>
    <w:p>
      <w:pPr>
        <w:spacing w:after="0" w:line="261" w:lineRule="exact"/>
        <w:rPr>
          <w:rFonts w:ascii="Arial" w:cs="Arial" w:eastAsia="Arial" w:hAnsi="Arial"/>
          <w:sz w:val="16"/>
          <w:szCs w:val="16"/>
          <w:b w:val="1"/>
          <w:bCs w:val="1"/>
          <w:color w:val="auto"/>
        </w:rPr>
      </w:pPr>
    </w:p>
    <w:p>
      <w:pPr>
        <w:ind w:right="20" w:firstLine="656"/>
        <w:spacing w:after="0" w:line="260" w:lineRule="auto"/>
        <w:tabs>
          <w:tab w:leader="none" w:pos="1092" w:val="left"/>
        </w:tabs>
        <w:numPr>
          <w:ilvl w:val="0"/>
          <w:numId w:val="29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a committee of one or more members of the Board to whom authority has been delegated by the Board in accordance with Section 2(c).</w:t>
      </w:r>
    </w:p>
    <w:p>
      <w:pPr>
        <w:spacing w:after="0" w:line="176" w:lineRule="exact"/>
        <w:rPr>
          <w:rFonts w:ascii="Arial" w:cs="Arial" w:eastAsia="Arial" w:hAnsi="Arial"/>
          <w:sz w:val="20"/>
          <w:szCs w:val="20"/>
          <w:b w:val="1"/>
          <w:bCs w:val="1"/>
          <w:color w:val="auto"/>
        </w:rPr>
      </w:pPr>
    </w:p>
    <w:p>
      <w:pPr>
        <w:ind w:left="1060" w:hanging="404"/>
        <w:spacing w:after="0"/>
        <w:tabs>
          <w:tab w:leader="none" w:pos="1060" w:val="left"/>
        </w:tabs>
        <w:numPr>
          <w:ilvl w:val="0"/>
          <w:numId w:val="29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means the Class A common stock of the Company.</w:t>
      </w:r>
    </w:p>
    <w:p>
      <w:pPr>
        <w:spacing w:after="0" w:line="215" w:lineRule="exact"/>
        <w:rPr>
          <w:rFonts w:ascii="Arial" w:cs="Arial" w:eastAsia="Arial" w:hAnsi="Arial"/>
          <w:sz w:val="20"/>
          <w:szCs w:val="20"/>
          <w:b w:val="1"/>
          <w:bCs w:val="1"/>
          <w:color w:val="auto"/>
        </w:rPr>
      </w:pPr>
    </w:p>
    <w:p>
      <w:pPr>
        <w:ind w:left="1080" w:hanging="424"/>
        <w:spacing w:after="0"/>
        <w:tabs>
          <w:tab w:leader="none" w:pos="1080" w:val="left"/>
        </w:tabs>
        <w:numPr>
          <w:ilvl w:val="0"/>
          <w:numId w:val="29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means NerdWallet, Inc., a Delaware corporation.</w:t>
      </w:r>
    </w:p>
    <w:p>
      <w:pPr>
        <w:spacing w:after="0" w:line="215" w:lineRule="exact"/>
        <w:rPr>
          <w:rFonts w:ascii="Arial" w:cs="Arial" w:eastAsia="Arial" w:hAnsi="Arial"/>
          <w:sz w:val="20"/>
          <w:szCs w:val="20"/>
          <w:b w:val="1"/>
          <w:bCs w:val="1"/>
          <w:color w:val="auto"/>
        </w:rPr>
      </w:pPr>
    </w:p>
    <w:p>
      <w:pPr>
        <w:jc w:val="both"/>
        <w:ind w:firstLine="656"/>
        <w:spacing w:after="0" w:line="246" w:lineRule="auto"/>
        <w:tabs>
          <w:tab w:leader="none" w:pos="1142" w:val="left"/>
        </w:tabs>
        <w:numPr>
          <w:ilvl w:val="0"/>
          <w:numId w:val="29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Contributions</w:t>
      </w:r>
      <w:r>
        <w:rPr>
          <w:rFonts w:ascii="Arial" w:cs="Arial" w:eastAsia="Arial" w:hAnsi="Arial"/>
          <w:sz w:val="20"/>
          <w:szCs w:val="20"/>
          <w:color w:val="auto"/>
        </w:rPr>
        <w:t>” means the payroll deductions and other additional payments specifically 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w:t>
      </w:r>
    </w:p>
    <w:p>
      <w:pPr>
        <w:spacing w:after="0" w:line="191" w:lineRule="exact"/>
        <w:rPr>
          <w:rFonts w:ascii="Arial" w:cs="Arial" w:eastAsia="Arial" w:hAnsi="Arial"/>
          <w:sz w:val="20"/>
          <w:szCs w:val="20"/>
          <w:b w:val="1"/>
          <w:bCs w:val="1"/>
          <w:color w:val="auto"/>
        </w:rPr>
      </w:pPr>
    </w:p>
    <w:p>
      <w:pPr>
        <w:ind w:firstLine="656"/>
        <w:spacing w:after="0" w:line="260" w:lineRule="auto"/>
        <w:tabs>
          <w:tab w:leader="none" w:pos="1073" w:val="left"/>
        </w:tabs>
        <w:numPr>
          <w:ilvl w:val="0"/>
          <w:numId w:val="29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Corporate Transaction</w:t>
      </w:r>
      <w:r>
        <w:rPr>
          <w:rFonts w:ascii="Arial" w:cs="Arial" w:eastAsia="Arial" w:hAnsi="Arial"/>
          <w:sz w:val="20"/>
          <w:szCs w:val="20"/>
          <w:color w:val="auto"/>
        </w:rPr>
        <w:t>” means the consummation, in a single transaction or in a series of related transactions, of any one or more of the following events:</w:t>
      </w:r>
    </w:p>
    <w:p>
      <w:pPr>
        <w:spacing w:after="0" w:line="176" w:lineRule="exact"/>
        <w:rPr>
          <w:rFonts w:ascii="Arial" w:cs="Arial" w:eastAsia="Arial" w:hAnsi="Arial"/>
          <w:sz w:val="20"/>
          <w:szCs w:val="20"/>
          <w:b w:val="1"/>
          <w:bCs w:val="1"/>
          <w:color w:val="auto"/>
        </w:rPr>
      </w:pPr>
    </w:p>
    <w:p>
      <w:pPr>
        <w:ind w:firstLine="1304"/>
        <w:spacing w:after="0" w:line="260" w:lineRule="auto"/>
        <w:tabs>
          <w:tab w:leader="none" w:pos="1681" w:val="left"/>
        </w:tabs>
        <w:numPr>
          <w:ilvl w:val="1"/>
          <w:numId w:val="293"/>
        </w:numPr>
        <w:rPr>
          <w:rFonts w:ascii="Arial" w:cs="Arial" w:eastAsia="Arial" w:hAnsi="Arial"/>
          <w:sz w:val="20"/>
          <w:szCs w:val="20"/>
          <w:b w:val="1"/>
          <w:bCs w:val="1"/>
          <w:color w:val="auto"/>
        </w:rPr>
      </w:pPr>
      <w:r>
        <w:rPr>
          <w:rFonts w:ascii="Arial" w:cs="Arial" w:eastAsia="Arial" w:hAnsi="Arial"/>
          <w:sz w:val="20"/>
          <w:szCs w:val="20"/>
          <w:color w:val="auto"/>
        </w:rPr>
        <w:t>a sale or other disposition of all or substantially all, as determined by the Board in its sole discretion, of the consolidated assets of the Company and its subsidiaries;</w:t>
      </w:r>
    </w:p>
    <w:p>
      <w:pPr>
        <w:spacing w:after="0" w:line="176" w:lineRule="exact"/>
        <w:rPr>
          <w:rFonts w:ascii="Arial" w:cs="Arial" w:eastAsia="Arial" w:hAnsi="Arial"/>
          <w:sz w:val="20"/>
          <w:szCs w:val="20"/>
          <w:b w:val="1"/>
          <w:bCs w:val="1"/>
          <w:color w:val="auto"/>
        </w:rPr>
      </w:pPr>
    </w:p>
    <w:p>
      <w:pPr>
        <w:ind w:left="1740" w:hanging="436"/>
        <w:spacing w:after="0"/>
        <w:tabs>
          <w:tab w:leader="none" w:pos="1740" w:val="left"/>
        </w:tabs>
        <w:numPr>
          <w:ilvl w:val="1"/>
          <w:numId w:val="293"/>
        </w:numPr>
        <w:rPr>
          <w:rFonts w:ascii="Arial" w:cs="Arial" w:eastAsia="Arial" w:hAnsi="Arial"/>
          <w:sz w:val="20"/>
          <w:szCs w:val="20"/>
          <w:b w:val="1"/>
          <w:bCs w:val="1"/>
          <w:color w:val="auto"/>
        </w:rPr>
      </w:pPr>
      <w:r>
        <w:rPr>
          <w:rFonts w:ascii="Arial" w:cs="Arial" w:eastAsia="Arial" w:hAnsi="Arial"/>
          <w:sz w:val="20"/>
          <w:szCs w:val="20"/>
          <w:color w:val="auto"/>
        </w:rPr>
        <w:t>a sale or other disposition of more than 50% of the outstanding securities of the Company;</w:t>
      </w:r>
    </w:p>
    <w:p>
      <w:pPr>
        <w:spacing w:after="0" w:line="215" w:lineRule="exact"/>
        <w:rPr>
          <w:rFonts w:ascii="Arial" w:cs="Arial" w:eastAsia="Arial" w:hAnsi="Arial"/>
          <w:sz w:val="20"/>
          <w:szCs w:val="20"/>
          <w:b w:val="1"/>
          <w:bCs w:val="1"/>
          <w:color w:val="auto"/>
        </w:rPr>
      </w:pPr>
    </w:p>
    <w:p>
      <w:pPr>
        <w:ind w:left="1800" w:hanging="496"/>
        <w:spacing w:after="0"/>
        <w:tabs>
          <w:tab w:leader="none" w:pos="1800" w:val="left"/>
        </w:tabs>
        <w:numPr>
          <w:ilvl w:val="1"/>
          <w:numId w:val="293"/>
        </w:numPr>
        <w:rPr>
          <w:rFonts w:ascii="Arial" w:cs="Arial" w:eastAsia="Arial" w:hAnsi="Arial"/>
          <w:sz w:val="19"/>
          <w:szCs w:val="19"/>
          <w:b w:val="1"/>
          <w:bCs w:val="1"/>
          <w:color w:val="auto"/>
        </w:rPr>
      </w:pPr>
      <w:r>
        <w:rPr>
          <w:rFonts w:ascii="Arial" w:cs="Arial" w:eastAsia="Arial" w:hAnsi="Arial"/>
          <w:sz w:val="19"/>
          <w:szCs w:val="19"/>
          <w:color w:val="auto"/>
        </w:rPr>
        <w:t>a merger, consolidation or similar transaction following which the Company is not the surviving corporation; or</w:t>
      </w:r>
    </w:p>
    <w:p>
      <w:pPr>
        <w:spacing w:after="0" w:line="227" w:lineRule="exact"/>
        <w:rPr>
          <w:rFonts w:ascii="Arial" w:cs="Arial" w:eastAsia="Arial" w:hAnsi="Arial"/>
          <w:sz w:val="19"/>
          <w:szCs w:val="19"/>
          <w:b w:val="1"/>
          <w:bCs w:val="1"/>
          <w:color w:val="auto"/>
        </w:rPr>
      </w:pPr>
    </w:p>
    <w:p>
      <w:pPr>
        <w:jc w:val="both"/>
        <w:ind w:firstLine="1304"/>
        <w:spacing w:after="0" w:line="291" w:lineRule="auto"/>
        <w:tabs>
          <w:tab w:leader="none" w:pos="1779" w:val="left"/>
        </w:tabs>
        <w:numPr>
          <w:ilvl w:val="1"/>
          <w:numId w:val="293"/>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51" w:lineRule="exact"/>
        <w:rPr>
          <w:rFonts w:ascii="Arial" w:cs="Arial" w:eastAsia="Arial" w:hAnsi="Arial"/>
          <w:sz w:val="18"/>
          <w:szCs w:val="18"/>
          <w:b w:val="1"/>
          <w:bCs w:val="1"/>
          <w:color w:val="auto"/>
        </w:rPr>
      </w:pPr>
    </w:p>
    <w:p>
      <w:pPr>
        <w:ind w:left="1060" w:hanging="404"/>
        <w:spacing w:after="0"/>
        <w:tabs>
          <w:tab w:leader="none" w:pos="1060" w:val="left"/>
        </w:tabs>
        <w:numPr>
          <w:ilvl w:val="0"/>
          <w:numId w:val="29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means a member of the Board.</w:t>
      </w:r>
    </w:p>
    <w:p>
      <w:pPr>
        <w:spacing w:after="0" w:line="215" w:lineRule="exact"/>
        <w:rPr>
          <w:rFonts w:ascii="Arial" w:cs="Arial" w:eastAsia="Arial" w:hAnsi="Arial"/>
          <w:sz w:val="20"/>
          <w:szCs w:val="20"/>
          <w:b w:val="1"/>
          <w:bCs w:val="1"/>
          <w:color w:val="auto"/>
        </w:rPr>
      </w:pPr>
    </w:p>
    <w:p>
      <w:pPr>
        <w:jc w:val="both"/>
        <w:ind w:firstLine="656"/>
        <w:spacing w:after="0" w:line="250" w:lineRule="auto"/>
        <w:tabs>
          <w:tab w:leader="none" w:pos="1115" w:val="left"/>
        </w:tabs>
        <w:numPr>
          <w:ilvl w:val="0"/>
          <w:numId w:val="29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Eligible Employee</w:t>
      </w:r>
      <w:r>
        <w:rPr>
          <w:rFonts w:ascii="Arial" w:cs="Arial" w:eastAsia="Arial" w:hAnsi="Arial"/>
          <w:sz w:val="20"/>
          <w:szCs w:val="20"/>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85" w:lineRule="exact"/>
        <w:rPr>
          <w:rFonts w:ascii="Arial" w:cs="Arial" w:eastAsia="Arial" w:hAnsi="Arial"/>
          <w:sz w:val="20"/>
          <w:szCs w:val="20"/>
          <w:b w:val="1"/>
          <w:bCs w:val="1"/>
          <w:color w:val="auto"/>
        </w:rPr>
      </w:pPr>
    </w:p>
    <w:p>
      <w:pPr>
        <w:jc w:val="both"/>
        <w:ind w:firstLine="656"/>
        <w:spacing w:after="0" w:line="250" w:lineRule="auto"/>
        <w:tabs>
          <w:tab w:leader="none" w:pos="1087" w:val="left"/>
        </w:tabs>
        <w:numPr>
          <w:ilvl w:val="0"/>
          <w:numId w:val="29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ectPr>
          <w:pgSz w:w="11900" w:h="16838" w:orient="portrait"/>
          <w:cols w:equalWidth="0" w:num="1">
            <w:col w:w="11240"/>
          </w:cols>
          <w:pgMar w:left="320" w:top="1419" w:right="339" w:bottom="1440" w:gutter="0" w:footer="0" w:header="0"/>
        </w:sectPr>
      </w:pPr>
    </w:p>
    <w:bookmarkStart w:id="327" w:name="page328"/>
    <w:bookmarkEnd w:id="327"/>
    <w:p>
      <w:pPr>
        <w:ind w:right="20" w:firstLine="656"/>
        <w:spacing w:after="0" w:line="260" w:lineRule="auto"/>
        <w:tabs>
          <w:tab w:leader="none" w:pos="1156" w:val="left"/>
        </w:tabs>
        <w:numPr>
          <w:ilvl w:val="0"/>
          <w:numId w:val="2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Employee Stock Purchase Plan</w:t>
      </w:r>
      <w:r>
        <w:rPr>
          <w:rFonts w:ascii="Arial" w:cs="Arial" w:eastAsia="Arial" w:hAnsi="Arial"/>
          <w:sz w:val="20"/>
          <w:szCs w:val="20"/>
          <w:color w:val="auto"/>
        </w:rPr>
        <w:t>” means a plan that grants Purchase Rights intended to be options issued under an “employee stock purchase plan,” as that term is defined in Section 423(b) of the Code.</w:t>
      </w:r>
    </w:p>
    <w:p>
      <w:pPr>
        <w:spacing w:after="0" w:line="176" w:lineRule="exact"/>
        <w:rPr>
          <w:rFonts w:ascii="Arial" w:cs="Arial" w:eastAsia="Arial" w:hAnsi="Arial"/>
          <w:sz w:val="20"/>
          <w:szCs w:val="20"/>
          <w:b w:val="1"/>
          <w:bCs w:val="1"/>
          <w:color w:val="auto"/>
        </w:rPr>
      </w:pPr>
    </w:p>
    <w:p>
      <w:pPr>
        <w:ind w:left="1280" w:hanging="624"/>
        <w:spacing w:after="0"/>
        <w:tabs>
          <w:tab w:leader="none" w:pos="1280" w:val="left"/>
        </w:tabs>
        <w:numPr>
          <w:ilvl w:val="0"/>
          <w:numId w:val="29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means the Securities Exchange Act of 1934, as amended and the rules and regulations promulgated</w:t>
      </w:r>
    </w:p>
    <w:p>
      <w:pPr>
        <w:spacing w:after="0" w:line="2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thereunder.</w:t>
      </w:r>
    </w:p>
    <w:p>
      <w:pPr>
        <w:spacing w:after="0" w:line="199" w:lineRule="exact"/>
        <w:rPr>
          <w:rFonts w:ascii="Arial" w:cs="Arial" w:eastAsia="Arial" w:hAnsi="Arial"/>
          <w:sz w:val="19"/>
          <w:szCs w:val="19"/>
          <w:b w:val="1"/>
          <w:bCs w:val="1"/>
          <w:color w:val="auto"/>
        </w:rPr>
      </w:pPr>
    </w:p>
    <w:p>
      <w:pPr>
        <w:ind w:left="1080" w:hanging="424"/>
        <w:spacing w:after="0"/>
        <w:tabs>
          <w:tab w:leader="none" w:pos="1080" w:val="left"/>
        </w:tabs>
        <w:numPr>
          <w:ilvl w:val="0"/>
          <w:numId w:val="2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Fair Market Value</w:t>
      </w:r>
      <w:r>
        <w:rPr>
          <w:rFonts w:ascii="Arial" w:cs="Arial" w:eastAsia="Arial" w:hAnsi="Arial"/>
          <w:sz w:val="20"/>
          <w:szCs w:val="20"/>
          <w:color w:val="auto"/>
        </w:rPr>
        <w:t>” means, as of any date, the value of the Common Stock determined as follows:</w:t>
      </w:r>
    </w:p>
    <w:p>
      <w:pPr>
        <w:spacing w:after="0" w:line="215" w:lineRule="exact"/>
        <w:rPr>
          <w:rFonts w:ascii="Arial" w:cs="Arial" w:eastAsia="Arial" w:hAnsi="Arial"/>
          <w:sz w:val="20"/>
          <w:szCs w:val="20"/>
          <w:b w:val="1"/>
          <w:bCs w:val="1"/>
          <w:color w:val="auto"/>
        </w:rPr>
      </w:pPr>
    </w:p>
    <w:p>
      <w:pPr>
        <w:jc w:val="both"/>
        <w:ind w:firstLine="1304"/>
        <w:spacing w:after="0" w:line="243" w:lineRule="auto"/>
        <w:tabs>
          <w:tab w:leader="none" w:pos="1708" w:val="left"/>
        </w:tabs>
        <w:numPr>
          <w:ilvl w:val="1"/>
          <w:numId w:val="294"/>
        </w:numPr>
        <w:rPr>
          <w:rFonts w:ascii="Arial" w:cs="Arial" w:eastAsia="Arial" w:hAnsi="Arial"/>
          <w:sz w:val="20"/>
          <w:szCs w:val="20"/>
          <w:b w:val="1"/>
          <w:bCs w:val="1"/>
          <w:color w:val="auto"/>
        </w:rPr>
      </w:pPr>
      <w:r>
        <w:rPr>
          <w:rFonts w:ascii="Arial" w:cs="Arial" w:eastAsia="Arial" w:hAnsi="Arial"/>
          <w:sz w:val="20"/>
          <w:szCs w:val="20"/>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95" w:lineRule="exact"/>
        <w:rPr>
          <w:rFonts w:ascii="Arial" w:cs="Arial" w:eastAsia="Arial" w:hAnsi="Arial"/>
          <w:sz w:val="20"/>
          <w:szCs w:val="20"/>
          <w:b w:val="1"/>
          <w:bCs w:val="1"/>
          <w:color w:val="auto"/>
        </w:rPr>
      </w:pPr>
    </w:p>
    <w:p>
      <w:pPr>
        <w:ind w:firstLine="1304"/>
        <w:spacing w:after="0" w:line="260" w:lineRule="auto"/>
        <w:tabs>
          <w:tab w:leader="none" w:pos="1749" w:val="left"/>
        </w:tabs>
        <w:numPr>
          <w:ilvl w:val="1"/>
          <w:numId w:val="294"/>
        </w:numPr>
        <w:rPr>
          <w:rFonts w:ascii="Arial" w:cs="Arial" w:eastAsia="Arial" w:hAnsi="Arial"/>
          <w:sz w:val="20"/>
          <w:szCs w:val="20"/>
          <w:b w:val="1"/>
          <w:bCs w:val="1"/>
          <w:color w:val="auto"/>
        </w:rPr>
      </w:pPr>
      <w:r>
        <w:rPr>
          <w:rFonts w:ascii="Arial" w:cs="Arial" w:eastAsia="Arial" w:hAnsi="Arial"/>
          <w:sz w:val="20"/>
          <w:szCs w:val="20"/>
          <w:color w:val="auto"/>
        </w:rPr>
        <w:t>In the absence of such markets for the Common Stock, the Fair Market Value will be determined by the Board in good faith in compliance with applicable laws and in a manner that complies with Sections 409A of the Code.</w:t>
      </w:r>
    </w:p>
    <w:p>
      <w:pPr>
        <w:spacing w:after="0" w:line="176" w:lineRule="exact"/>
        <w:rPr>
          <w:rFonts w:ascii="Arial" w:cs="Arial" w:eastAsia="Arial" w:hAnsi="Arial"/>
          <w:sz w:val="20"/>
          <w:szCs w:val="20"/>
          <w:b w:val="1"/>
          <w:bCs w:val="1"/>
          <w:color w:val="auto"/>
        </w:rPr>
      </w:pPr>
    </w:p>
    <w:p>
      <w:pPr>
        <w:jc w:val="both"/>
        <w:ind w:firstLine="1304"/>
        <w:spacing w:after="0" w:line="250" w:lineRule="auto"/>
        <w:tabs>
          <w:tab w:leader="none" w:pos="1804" w:val="left"/>
        </w:tabs>
        <w:numPr>
          <w:ilvl w:val="1"/>
          <w:numId w:val="294"/>
        </w:numPr>
        <w:rPr>
          <w:rFonts w:ascii="Arial" w:cs="Arial" w:eastAsia="Arial" w:hAnsi="Arial"/>
          <w:sz w:val="20"/>
          <w:szCs w:val="20"/>
          <w:b w:val="1"/>
          <w:bCs w:val="1"/>
          <w:color w:val="auto"/>
        </w:rPr>
      </w:pPr>
      <w:r>
        <w:rPr>
          <w:rFonts w:ascii="Arial" w:cs="Arial" w:eastAsia="Arial" w:hAnsi="Arial"/>
          <w:sz w:val="20"/>
          <w:szCs w:val="20"/>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185" w:lineRule="exact"/>
        <w:rPr>
          <w:rFonts w:ascii="Arial" w:cs="Arial" w:eastAsia="Arial" w:hAnsi="Arial"/>
          <w:sz w:val="20"/>
          <w:szCs w:val="20"/>
          <w:b w:val="1"/>
          <w:bCs w:val="1"/>
          <w:color w:val="auto"/>
        </w:rPr>
      </w:pPr>
    </w:p>
    <w:p>
      <w:pPr>
        <w:ind w:firstLine="656"/>
        <w:spacing w:after="0" w:line="287" w:lineRule="auto"/>
        <w:tabs>
          <w:tab w:leader="none" w:pos="1128" w:val="left"/>
        </w:tabs>
        <w:numPr>
          <w:ilvl w:val="0"/>
          <w:numId w:val="29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IPO Date</w:t>
      </w:r>
      <w:r>
        <w:rPr>
          <w:rFonts w:ascii="Arial" w:cs="Arial" w:eastAsia="Arial" w:hAnsi="Arial"/>
          <w:sz w:val="19"/>
          <w:szCs w:val="19"/>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52" w:lineRule="exact"/>
        <w:rPr>
          <w:rFonts w:ascii="Arial" w:cs="Arial" w:eastAsia="Arial" w:hAnsi="Arial"/>
          <w:sz w:val="19"/>
          <w:szCs w:val="19"/>
          <w:b w:val="1"/>
          <w:bCs w:val="1"/>
          <w:color w:val="auto"/>
        </w:rPr>
      </w:pPr>
    </w:p>
    <w:p>
      <w:pPr>
        <w:jc w:val="both"/>
        <w:ind w:firstLine="656"/>
        <w:spacing w:after="0" w:line="250" w:lineRule="auto"/>
        <w:tabs>
          <w:tab w:leader="none" w:pos="1088" w:val="left"/>
        </w:tabs>
        <w:numPr>
          <w:ilvl w:val="0"/>
          <w:numId w:val="2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Offering</w:t>
      </w:r>
      <w:r>
        <w:rPr>
          <w:rFonts w:ascii="Arial" w:cs="Arial" w:eastAsia="Arial" w:hAnsi="Arial"/>
          <w:sz w:val="20"/>
          <w:szCs w:val="20"/>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20"/>
          <w:szCs w:val="20"/>
          <w:b w:val="1"/>
          <w:bCs w:val="1"/>
          <w:i w:val="1"/>
          <w:iCs w:val="1"/>
          <w:color w:val="auto"/>
        </w:rPr>
        <w:t>Offering</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Document</w:t>
      </w:r>
      <w:r>
        <w:rPr>
          <w:rFonts w:ascii="Arial" w:cs="Arial" w:eastAsia="Arial" w:hAnsi="Arial"/>
          <w:sz w:val="20"/>
          <w:szCs w:val="20"/>
          <w:color w:val="auto"/>
        </w:rPr>
        <w:t>” approved by the Board for that Offering.</w:t>
      </w:r>
    </w:p>
    <w:p>
      <w:pPr>
        <w:spacing w:after="0" w:line="185" w:lineRule="exact"/>
        <w:rPr>
          <w:rFonts w:ascii="Arial" w:cs="Arial" w:eastAsia="Arial" w:hAnsi="Arial"/>
          <w:sz w:val="20"/>
          <w:szCs w:val="20"/>
          <w:b w:val="1"/>
          <w:bCs w:val="1"/>
          <w:color w:val="auto"/>
        </w:rPr>
      </w:pPr>
    </w:p>
    <w:p>
      <w:pPr>
        <w:ind w:left="1080" w:hanging="424"/>
        <w:spacing w:after="0"/>
        <w:tabs>
          <w:tab w:leader="none" w:pos="1080" w:val="left"/>
        </w:tabs>
        <w:numPr>
          <w:ilvl w:val="0"/>
          <w:numId w:val="2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Offering Date</w:t>
      </w:r>
      <w:r>
        <w:rPr>
          <w:rFonts w:ascii="Arial" w:cs="Arial" w:eastAsia="Arial" w:hAnsi="Arial"/>
          <w:sz w:val="20"/>
          <w:szCs w:val="20"/>
          <w:color w:val="auto"/>
        </w:rPr>
        <w:t>” means a date selected by the Board for an Offering to commence.</w:t>
      </w:r>
    </w:p>
    <w:p>
      <w:pPr>
        <w:spacing w:after="0" w:line="215" w:lineRule="exact"/>
        <w:rPr>
          <w:rFonts w:ascii="Arial" w:cs="Arial" w:eastAsia="Arial" w:hAnsi="Arial"/>
          <w:sz w:val="20"/>
          <w:szCs w:val="20"/>
          <w:b w:val="1"/>
          <w:bCs w:val="1"/>
          <w:color w:val="auto"/>
        </w:rPr>
      </w:pPr>
    </w:p>
    <w:p>
      <w:pPr>
        <w:ind w:firstLine="656"/>
        <w:spacing w:after="0" w:line="260" w:lineRule="auto"/>
        <w:tabs>
          <w:tab w:leader="none" w:pos="1081" w:val="left"/>
        </w:tabs>
        <w:numPr>
          <w:ilvl w:val="0"/>
          <w:numId w:val="2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Officer</w:t>
      </w:r>
      <w:r>
        <w:rPr>
          <w:rFonts w:ascii="Arial" w:cs="Arial" w:eastAsia="Arial" w:hAnsi="Arial"/>
          <w:sz w:val="20"/>
          <w:szCs w:val="20"/>
          <w:color w:val="auto"/>
        </w:rPr>
        <w:t>” means a person who is an officer of the Company or a Related Corporation within the meaning of Section 16 of the Exchange Act.</w:t>
      </w:r>
    </w:p>
    <w:p>
      <w:pPr>
        <w:spacing w:after="0" w:line="176" w:lineRule="exact"/>
        <w:rPr>
          <w:rFonts w:ascii="Arial" w:cs="Arial" w:eastAsia="Arial" w:hAnsi="Arial"/>
          <w:sz w:val="20"/>
          <w:szCs w:val="20"/>
          <w:b w:val="1"/>
          <w:bCs w:val="1"/>
          <w:color w:val="auto"/>
        </w:rPr>
      </w:pPr>
    </w:p>
    <w:p>
      <w:pPr>
        <w:ind w:left="1060" w:hanging="404"/>
        <w:spacing w:after="0"/>
        <w:tabs>
          <w:tab w:leader="none" w:pos="1060" w:val="left"/>
        </w:tabs>
        <w:numPr>
          <w:ilvl w:val="0"/>
          <w:numId w:val="2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an Eligible Employee who holds an outstanding Purchase Right.</w:t>
      </w:r>
    </w:p>
    <w:p>
      <w:pPr>
        <w:spacing w:after="0" w:line="215" w:lineRule="exact"/>
        <w:rPr>
          <w:rFonts w:ascii="Arial" w:cs="Arial" w:eastAsia="Arial" w:hAnsi="Arial"/>
          <w:sz w:val="20"/>
          <w:szCs w:val="20"/>
          <w:b w:val="1"/>
          <w:bCs w:val="1"/>
          <w:color w:val="auto"/>
        </w:rPr>
      </w:pPr>
    </w:p>
    <w:p>
      <w:pPr>
        <w:ind w:left="1100" w:hanging="444"/>
        <w:spacing w:after="0"/>
        <w:tabs>
          <w:tab w:leader="none" w:pos="1100" w:val="left"/>
        </w:tabs>
        <w:numPr>
          <w:ilvl w:val="0"/>
          <w:numId w:val="2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this NerdWallet, Inc. 2021 Employee Stock Purchase Plan, as amended from time to time.</w:t>
      </w:r>
    </w:p>
    <w:p>
      <w:pPr>
        <w:spacing w:after="0" w:line="215" w:lineRule="exact"/>
        <w:rPr>
          <w:rFonts w:ascii="Arial" w:cs="Arial" w:eastAsia="Arial" w:hAnsi="Arial"/>
          <w:sz w:val="20"/>
          <w:szCs w:val="20"/>
          <w:b w:val="1"/>
          <w:bCs w:val="1"/>
          <w:color w:val="auto"/>
        </w:rPr>
      </w:pPr>
    </w:p>
    <w:p>
      <w:pPr>
        <w:ind w:right="20" w:firstLine="656"/>
        <w:spacing w:after="0" w:line="260" w:lineRule="auto"/>
        <w:tabs>
          <w:tab w:leader="none" w:pos="1198" w:val="left"/>
        </w:tabs>
        <w:numPr>
          <w:ilvl w:val="0"/>
          <w:numId w:val="29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Date</w:t>
      </w:r>
      <w:r>
        <w:rPr>
          <w:rFonts w:ascii="Arial" w:cs="Arial" w:eastAsia="Arial" w:hAnsi="Arial"/>
          <w:sz w:val="20"/>
          <w:szCs w:val="20"/>
          <w:color w:val="auto"/>
        </w:rPr>
        <w:t>” means one or more dates during an Offering selected by the Board on which Purchase Rights will be exercised and on which purchases of shares of Common Stock will be carried out in accordance with such Offering.</w:t>
      </w:r>
    </w:p>
    <w:p>
      <w:pPr>
        <w:sectPr>
          <w:pgSz w:w="11900" w:h="16838" w:orient="portrait"/>
          <w:cols w:equalWidth="0" w:num="1">
            <w:col w:w="11240"/>
          </w:cols>
          <w:pgMar w:left="320" w:top="1419" w:right="339" w:bottom="1440" w:gutter="0" w:footer="0" w:header="0"/>
        </w:sectPr>
      </w:pPr>
    </w:p>
    <w:bookmarkStart w:id="328" w:name="page329"/>
    <w:bookmarkEnd w:id="328"/>
    <w:p>
      <w:pPr>
        <w:ind w:left="-656" w:firstLine="656"/>
        <w:spacing w:after="0" w:line="316" w:lineRule="auto"/>
        <w:tabs>
          <w:tab w:leader="none" w:pos="518" w:val="left"/>
        </w:tabs>
        <w:numPr>
          <w:ilvl w:val="0"/>
          <w:numId w:val="29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29" w:lineRule="exact"/>
        <w:rPr>
          <w:rFonts w:ascii="Arial" w:cs="Arial" w:eastAsia="Arial" w:hAnsi="Arial"/>
          <w:sz w:val="18"/>
          <w:szCs w:val="18"/>
          <w:b w:val="1"/>
          <w:bCs w:val="1"/>
          <w:color w:val="auto"/>
        </w:rPr>
      </w:pPr>
    </w:p>
    <w:p>
      <w:pPr>
        <w:ind w:left="424" w:hanging="424"/>
        <w:spacing w:after="0"/>
        <w:tabs>
          <w:tab w:leader="none" w:pos="424" w:val="left"/>
        </w:tabs>
        <w:numPr>
          <w:ilvl w:val="0"/>
          <w:numId w:val="29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Right</w:t>
      </w:r>
      <w:r>
        <w:rPr>
          <w:rFonts w:ascii="Arial" w:cs="Arial" w:eastAsia="Arial" w:hAnsi="Arial"/>
          <w:sz w:val="20"/>
          <w:szCs w:val="20"/>
          <w:color w:val="auto"/>
        </w:rPr>
        <w:t>” means an option to purchase shares of Common Stock granted pursuant to the Plan.</w:t>
      </w:r>
    </w:p>
    <w:p>
      <w:pPr>
        <w:spacing w:after="0" w:line="215" w:lineRule="exact"/>
        <w:rPr>
          <w:rFonts w:ascii="Arial" w:cs="Arial" w:eastAsia="Arial" w:hAnsi="Arial"/>
          <w:sz w:val="20"/>
          <w:szCs w:val="20"/>
          <w:b w:val="1"/>
          <w:bCs w:val="1"/>
          <w:color w:val="auto"/>
        </w:rPr>
      </w:pPr>
    </w:p>
    <w:p>
      <w:pPr>
        <w:ind w:left="-656" w:firstLine="656"/>
        <w:spacing w:after="0" w:line="260" w:lineRule="auto"/>
        <w:tabs>
          <w:tab w:leader="none" w:pos="623" w:val="left"/>
        </w:tabs>
        <w:numPr>
          <w:ilvl w:val="0"/>
          <w:numId w:val="29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Corporation</w:t>
      </w:r>
      <w:r>
        <w:rPr>
          <w:rFonts w:ascii="Arial" w:cs="Arial" w:eastAsia="Arial" w:hAnsi="Arial"/>
          <w:sz w:val="20"/>
          <w:szCs w:val="20"/>
          <w:color w:val="auto"/>
        </w:rPr>
        <w:t>” means any “parent corporation” or “subsidiary corporation” of the Company whether now or subsequently established, as those terms are defined in Sections 424(e) and (f), respectively, of the Code.</w:t>
      </w:r>
    </w:p>
    <w:p>
      <w:pPr>
        <w:spacing w:after="0" w:line="176" w:lineRule="exact"/>
        <w:rPr>
          <w:rFonts w:ascii="Arial" w:cs="Arial" w:eastAsia="Arial" w:hAnsi="Arial"/>
          <w:sz w:val="20"/>
          <w:szCs w:val="20"/>
          <w:b w:val="1"/>
          <w:bCs w:val="1"/>
          <w:color w:val="auto"/>
        </w:rPr>
      </w:pPr>
    </w:p>
    <w:p>
      <w:pPr>
        <w:ind w:left="424" w:hanging="424"/>
        <w:spacing w:after="0"/>
        <w:tabs>
          <w:tab w:leader="none" w:pos="424" w:val="left"/>
        </w:tabs>
        <w:numPr>
          <w:ilvl w:val="0"/>
          <w:numId w:val="29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means the Securities Act of 1933, as amended.</w:t>
      </w:r>
    </w:p>
    <w:p>
      <w:pPr>
        <w:spacing w:after="0" w:line="216" w:lineRule="exact"/>
        <w:rPr>
          <w:sz w:val="20"/>
          <w:szCs w:val="20"/>
          <w:color w:val="auto"/>
        </w:rPr>
      </w:pPr>
    </w:p>
    <w:p>
      <w:pPr>
        <w:jc w:val="both"/>
        <w:ind w:left="-656" w:firstLine="656"/>
        <w:spacing w:after="0" w:line="250" w:lineRule="auto"/>
        <w:tabs>
          <w:tab w:leader="none" w:pos="533" w:val="left"/>
        </w:tabs>
        <w:numPr>
          <w:ilvl w:val="0"/>
          <w:numId w:val="29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means any day on which the exchange(s) or market(s) on which shares of Common Stock are listed, including but not limited to the New York Stock Exchange, Nasdaq Global Select Market, the Nasdaq Global Market, the Nasdaq Capital Market or any successors thereto, is open for trading.</w:t>
      </w:r>
    </w:p>
    <w:p>
      <w:pPr>
        <w:sectPr>
          <w:pgSz w:w="11900" w:h="16838" w:orient="portrait"/>
          <w:cols w:equalWidth="0" w:num="1">
            <w:col w:w="10584"/>
          </w:cols>
          <w:pgMar w:left="976" w:top="1419" w:right="3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SIDE LETTER AMENDMENT AGREEMENT</w:t>
      </w:r>
    </w:p>
    <w:p>
      <w:pPr>
        <w:spacing w:after="0" w:line="216" w:lineRule="exact"/>
        <w:rPr>
          <w:sz w:val="20"/>
          <w:szCs w:val="20"/>
          <w:color w:val="auto"/>
        </w:rPr>
      </w:pPr>
    </w:p>
    <w:p>
      <w:pPr>
        <w:ind w:right="320" w:firstLine="648"/>
        <w:spacing w:after="0" w:line="253" w:lineRule="auto"/>
        <w:rPr>
          <w:sz w:val="20"/>
          <w:szCs w:val="20"/>
          <w:color w:val="auto"/>
        </w:rPr>
      </w:pPr>
      <w:r>
        <w:rPr>
          <w:rFonts w:ascii="Arial" w:cs="Arial" w:eastAsia="Arial" w:hAnsi="Arial"/>
          <w:sz w:val="20"/>
          <w:szCs w:val="20"/>
          <w:color w:val="auto"/>
        </w:rPr>
        <w:t>This Side Letter Amendment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October 19, 2021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NerdWallet,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Innovius Capital Sirius I, L.P. (each,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the “</w:t>
      </w:r>
      <w:r>
        <w:rPr>
          <w:rFonts w:ascii="Arial" w:cs="Arial" w:eastAsia="Arial" w:hAnsi="Arial"/>
          <w:sz w:val="20"/>
          <w:szCs w:val="20"/>
          <w:b w:val="1"/>
          <w:bCs w:val="1"/>
          <w:color w:val="auto"/>
        </w:rPr>
        <w:t>Parties</w:t>
      </w:r>
      <w:r>
        <w:rPr>
          <w:rFonts w:ascii="Arial" w:cs="Arial" w:eastAsia="Arial" w:hAnsi="Arial"/>
          <w:sz w:val="20"/>
          <w:szCs w:val="20"/>
          <w:color w:val="auto"/>
        </w:rPr>
        <w:t>”) (the “</w:t>
      </w:r>
      <w:r>
        <w:rPr>
          <w:rFonts w:ascii="Arial" w:cs="Arial" w:eastAsia="Arial" w:hAnsi="Arial"/>
          <w:sz w:val="20"/>
          <w:szCs w:val="20"/>
          <w:b w:val="1"/>
          <w:bCs w:val="1"/>
          <w:color w:val="auto"/>
        </w:rPr>
        <w:t>Investor</w:t>
      </w:r>
      <w:r>
        <w:rPr>
          <w:rFonts w:ascii="Arial" w:cs="Arial" w:eastAsia="Arial" w:hAnsi="Arial"/>
          <w:sz w:val="20"/>
          <w:szCs w:val="20"/>
          <w:color w:val="auto"/>
        </w:rPr>
        <w:t>,” and together with the Company, the “</w:t>
      </w:r>
      <w:r>
        <w:rPr>
          <w:rFonts w:ascii="Arial" w:cs="Arial" w:eastAsia="Arial" w:hAnsi="Arial"/>
          <w:sz w:val="20"/>
          <w:szCs w:val="20"/>
          <w:b w:val="1"/>
          <w:bCs w:val="1"/>
          <w:color w:val="auto"/>
        </w:rPr>
        <w:t>Parties</w:t>
      </w:r>
      <w:r>
        <w:rPr>
          <w:rFonts w:ascii="Arial" w:cs="Arial" w:eastAsia="Arial" w:hAnsi="Arial"/>
          <w:sz w:val="20"/>
          <w:szCs w:val="20"/>
          <w:color w:val="auto"/>
        </w:rPr>
        <w:t>” and each a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177" w:lineRule="exact"/>
        <w:rPr>
          <w:sz w:val="20"/>
          <w:szCs w:val="20"/>
          <w:color w:val="auto"/>
        </w:rPr>
      </w:pPr>
    </w:p>
    <w:p>
      <w:pPr>
        <w:jc w:val="both"/>
        <w:ind w:right="80"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have entered into that certain Letter Agreement between the Investor and the Company in connection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Investor’s purchase of the Company’s Class A Common Stock, dated July 17, 2020 (the “</w:t>
      </w:r>
      <w:r>
        <w:rPr>
          <w:rFonts w:ascii="Arial" w:cs="Arial" w:eastAsia="Arial" w:hAnsi="Arial"/>
          <w:sz w:val="20"/>
          <w:szCs w:val="20"/>
          <w:b w:val="1"/>
          <w:bCs w:val="1"/>
          <w:color w:val="auto"/>
        </w:rPr>
        <w:t>Original Side Letter</w:t>
      </w:r>
      <w:r>
        <w:rPr>
          <w:rFonts w:ascii="Arial" w:cs="Arial" w:eastAsia="Arial" w:hAnsi="Arial"/>
          <w:sz w:val="20"/>
          <w:szCs w:val="20"/>
          <w:color w:val="auto"/>
        </w:rPr>
        <w:t>”), and as amended on November 18, 2020 (the “</w:t>
      </w:r>
      <w:r>
        <w:rPr>
          <w:rFonts w:ascii="Arial" w:cs="Arial" w:eastAsia="Arial" w:hAnsi="Arial"/>
          <w:sz w:val="20"/>
          <w:szCs w:val="20"/>
          <w:b w:val="1"/>
          <w:bCs w:val="1"/>
          <w:color w:val="auto"/>
        </w:rPr>
        <w:t>Amendment</w:t>
      </w:r>
      <w:r>
        <w:rPr>
          <w:rFonts w:ascii="Arial" w:cs="Arial" w:eastAsia="Arial" w:hAnsi="Arial"/>
          <w:sz w:val="20"/>
          <w:szCs w:val="20"/>
          <w:color w:val="auto"/>
        </w:rPr>
        <w:t>”), by and among the Parties (the Original Side Letter and the Amendment are referred to collectively as the “</w:t>
      </w:r>
      <w:r>
        <w:rPr>
          <w:rFonts w:ascii="Arial" w:cs="Arial" w:eastAsia="Arial" w:hAnsi="Arial"/>
          <w:sz w:val="20"/>
          <w:szCs w:val="20"/>
          <w:b w:val="1"/>
          <w:bCs w:val="1"/>
          <w:color w:val="auto"/>
        </w:rPr>
        <w:t>Side Letter</w:t>
      </w:r>
      <w:r>
        <w:rPr>
          <w:rFonts w:ascii="Arial" w:cs="Arial" w:eastAsia="Arial" w:hAnsi="Arial"/>
          <w:sz w:val="20"/>
          <w:szCs w:val="20"/>
          <w:color w:val="auto"/>
        </w:rPr>
        <w:t>”);</w:t>
      </w:r>
    </w:p>
    <w:p>
      <w:pPr>
        <w:spacing w:after="0" w:line="183" w:lineRule="exact"/>
        <w:rPr>
          <w:sz w:val="20"/>
          <w:szCs w:val="20"/>
          <w:color w:val="auto"/>
        </w:rPr>
      </w:pPr>
    </w:p>
    <w:p>
      <w:pPr>
        <w:ind w:firstLine="648"/>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has filed a registration statement on Form S-1 with the Securities and Exchange Commission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initial public offering of the Company’s shares of Class A Common Stock (the “</w:t>
      </w:r>
      <w:r>
        <w:rPr>
          <w:rFonts w:ascii="Arial" w:cs="Arial" w:eastAsia="Arial" w:hAnsi="Arial"/>
          <w:sz w:val="19"/>
          <w:szCs w:val="19"/>
          <w:b w:val="1"/>
          <w:bCs w:val="1"/>
          <w:color w:val="auto"/>
        </w:rPr>
        <w:t>Initial Offering</w:t>
      </w:r>
      <w:r>
        <w:rPr>
          <w:rFonts w:ascii="Arial" w:cs="Arial" w:eastAsia="Arial" w:hAnsi="Arial"/>
          <w:sz w:val="19"/>
          <w:szCs w:val="19"/>
          <w:color w:val="auto"/>
        </w:rPr>
        <w:t>”); and</w:t>
      </w:r>
    </w:p>
    <w:p>
      <w:pPr>
        <w:spacing w:after="0" w:line="142" w:lineRule="exact"/>
        <w:rPr>
          <w:sz w:val="20"/>
          <w:szCs w:val="20"/>
          <w:color w:val="auto"/>
        </w:rPr>
      </w:pPr>
    </w:p>
    <w:p>
      <w:pPr>
        <w:ind w:right="14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desire to amend the Side Letter as set forth herein in order to facilitate the consummation of the Initial</w:t>
      </w:r>
      <w:r>
        <w:rPr>
          <w:rFonts w:ascii="Arial" w:cs="Arial" w:eastAsia="Arial" w:hAnsi="Arial"/>
          <w:sz w:val="20"/>
          <w:szCs w:val="20"/>
          <w:b w:val="1"/>
          <w:bCs w:val="1"/>
          <w:color w:val="auto"/>
        </w:rPr>
        <w:t xml:space="preserve"> </w:t>
      </w:r>
      <w:r>
        <w:rPr>
          <w:rFonts w:ascii="Arial" w:cs="Arial" w:eastAsia="Arial" w:hAnsi="Arial"/>
          <w:sz w:val="20"/>
          <w:szCs w:val="20"/>
          <w:color w:val="auto"/>
        </w:rPr>
        <w:t>Offering effective and contingent upon the closing of the Initial Offering.</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for good and valuable consideration, the receipt and sufficiency of which are hereby acknowledged, the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Parties hereby agree as follows:</w:t>
      </w:r>
    </w:p>
    <w:p>
      <w:pPr>
        <w:spacing w:after="0" w:line="200" w:lineRule="exact"/>
        <w:rPr>
          <w:sz w:val="20"/>
          <w:szCs w:val="20"/>
          <w:color w:val="auto"/>
        </w:rPr>
      </w:pPr>
    </w:p>
    <w:p>
      <w:pPr>
        <w:ind w:left="300" w:hanging="292"/>
        <w:spacing w:after="0"/>
        <w:tabs>
          <w:tab w:leader="none" w:pos="300"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Amendments to the Side Letter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right="80" w:hanging="324"/>
        <w:spacing w:after="0" w:line="260" w:lineRule="auto"/>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Sections 2(b) and 3</w:t>
      </w:r>
      <w:r>
        <w:rPr>
          <w:rFonts w:ascii="Arial" w:cs="Arial" w:eastAsia="Arial" w:hAnsi="Arial"/>
          <w:sz w:val="20"/>
          <w:szCs w:val="20"/>
          <w:color w:val="auto"/>
        </w:rPr>
        <w:t>. The Parties hereby agree that Subsection 2(b) and Section 3 of the Original Side Letter and Section 2 of the Amendment are hereby terminated, effective and contingent upon the closing of the Initial Offering.</w:t>
      </w:r>
    </w:p>
    <w:p>
      <w:pPr>
        <w:spacing w:after="0" w:line="176" w:lineRule="exact"/>
        <w:rPr>
          <w:rFonts w:ascii="Arial" w:cs="Arial" w:eastAsia="Arial" w:hAnsi="Arial"/>
          <w:sz w:val="20"/>
          <w:szCs w:val="20"/>
          <w:color w:val="auto"/>
        </w:rPr>
      </w:pPr>
    </w:p>
    <w:p>
      <w:pPr>
        <w:jc w:val="both"/>
        <w:ind w:left="340" w:right="140" w:hanging="332"/>
        <w:spacing w:after="0" w:line="250" w:lineRule="auto"/>
        <w:tabs>
          <w:tab w:leader="none" w:pos="340"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Any term of this Agreement may be amended and the observance of any term of this Agreement may be waived (either generally or in a particular instance and either retroactively or prospectively), only with the written consent of the Company and the Investor.</w:t>
      </w:r>
    </w:p>
    <w:p>
      <w:pPr>
        <w:spacing w:after="0" w:line="185" w:lineRule="exact"/>
        <w:rPr>
          <w:rFonts w:ascii="Arial" w:cs="Arial" w:eastAsia="Arial" w:hAnsi="Arial"/>
          <w:sz w:val="20"/>
          <w:szCs w:val="20"/>
          <w:color w:val="auto"/>
        </w:rPr>
      </w:pPr>
    </w:p>
    <w:p>
      <w:pPr>
        <w:jc w:val="both"/>
        <w:ind w:left="340" w:right="140" w:hanging="332"/>
        <w:spacing w:after="0" w:line="250" w:lineRule="auto"/>
        <w:tabs>
          <w:tab w:leader="none" w:pos="380"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terms of this Agreement are binding upon and inure to the benefit of the Parties and their respective parents, affiliates, subsidiaries, officers, directors, partners, employees, heirs, conservators and permitted successors, devisees and assigns.</w:t>
      </w:r>
    </w:p>
    <w:p>
      <w:pPr>
        <w:spacing w:after="0" w:line="185" w:lineRule="exact"/>
        <w:rPr>
          <w:rFonts w:ascii="Arial" w:cs="Arial" w:eastAsia="Arial" w:hAnsi="Arial"/>
          <w:sz w:val="20"/>
          <w:szCs w:val="20"/>
          <w:color w:val="auto"/>
        </w:rPr>
      </w:pPr>
    </w:p>
    <w:p>
      <w:pPr>
        <w:ind w:left="340" w:right="120" w:hanging="332"/>
        <w:spacing w:after="0" w:line="260" w:lineRule="auto"/>
        <w:tabs>
          <w:tab w:leader="none" w:pos="326"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under the laws of the State of Delaware as applied to agreements among Delaware residents entered into and to be performed entirely within Delaware.</w:t>
      </w:r>
    </w:p>
    <w:p>
      <w:pPr>
        <w:spacing w:after="0" w:line="176" w:lineRule="exact"/>
        <w:rPr>
          <w:rFonts w:ascii="Arial" w:cs="Arial" w:eastAsia="Arial" w:hAnsi="Arial"/>
          <w:sz w:val="20"/>
          <w:szCs w:val="20"/>
          <w:color w:val="auto"/>
        </w:rPr>
      </w:pPr>
    </w:p>
    <w:p>
      <w:pPr>
        <w:ind w:left="340" w:right="120" w:hanging="332"/>
        <w:spacing w:after="0" w:line="260" w:lineRule="auto"/>
        <w:tabs>
          <w:tab w:leader="none" w:pos="263"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shall be declared void or unenforceable by any judicial or administrative authority, then the validity of any other provision and of the entire Agreement shall not be affected thereby.</w:t>
      </w:r>
    </w:p>
    <w:p>
      <w:pPr>
        <w:spacing w:after="0" w:line="176" w:lineRule="exact"/>
        <w:rPr>
          <w:rFonts w:ascii="Arial" w:cs="Arial" w:eastAsia="Arial" w:hAnsi="Arial"/>
          <w:sz w:val="20"/>
          <w:szCs w:val="20"/>
          <w:color w:val="auto"/>
        </w:rPr>
      </w:pPr>
    </w:p>
    <w:p>
      <w:pPr>
        <w:jc w:val="both"/>
        <w:ind w:left="340" w:right="80" w:hanging="332"/>
        <w:spacing w:after="0" w:line="250" w:lineRule="auto"/>
        <w:tabs>
          <w:tab w:leader="none" w:pos="340"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Continuing Effect</w:t>
      </w:r>
      <w:r>
        <w:rPr>
          <w:rFonts w:ascii="Arial" w:cs="Arial" w:eastAsia="Arial" w:hAnsi="Arial"/>
          <w:sz w:val="20"/>
          <w:szCs w:val="20"/>
          <w:color w:val="auto"/>
        </w:rPr>
        <w:t>. Except as otherwise set forth in this Agreement, all terms and conditions of the Side Letter will remain in full force and effect. The Side Letter, including the exhibits, schedules, documents and instruments referred to in the Side Letter, as amended by this Agreement, constitutes</w:t>
      </w:r>
    </w:p>
    <w:p>
      <w:pPr>
        <w:sectPr>
          <w:pgSz w:w="11900" w:h="16838" w:orient="portrait"/>
          <w:cols w:equalWidth="0" w:num="1">
            <w:col w:w="11240"/>
          </w:cols>
          <w:pgMar w:left="320" w:top="121" w:right="339" w:bottom="1440" w:gutter="0" w:footer="0" w:header="0"/>
        </w:sectPr>
      </w:pPr>
    </w:p>
    <w:bookmarkStart w:id="330" w:name="page331"/>
    <w:bookmarkEnd w:id="330"/>
    <w:p>
      <w:pPr>
        <w:ind w:left="332"/>
        <w:spacing w:after="0" w:line="260" w:lineRule="auto"/>
        <w:rPr>
          <w:sz w:val="20"/>
          <w:szCs w:val="20"/>
          <w:color w:val="auto"/>
        </w:rPr>
      </w:pPr>
      <w:r>
        <w:rPr>
          <w:rFonts w:ascii="Arial" w:cs="Arial" w:eastAsia="Arial" w:hAnsi="Arial"/>
          <w:sz w:val="20"/>
          <w:szCs w:val="20"/>
          <w:color w:val="auto"/>
        </w:rPr>
        <w:t>the entire agreement, and supersedes all other prior agreements and understandings, both written and oral, among the Parties with respect to the subject matter of the Side Letter and of this Agreement.</w:t>
      </w:r>
    </w:p>
    <w:p>
      <w:pPr>
        <w:spacing w:after="0" w:line="177" w:lineRule="exact"/>
        <w:rPr>
          <w:sz w:val="20"/>
          <w:szCs w:val="20"/>
          <w:color w:val="auto"/>
        </w:rPr>
      </w:pPr>
    </w:p>
    <w:p>
      <w:pPr>
        <w:ind w:left="332" w:right="20" w:hanging="332"/>
        <w:spacing w:after="0" w:line="282" w:lineRule="auto"/>
        <w:tabs>
          <w:tab w:leader="none" w:pos="305"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61" w:lineRule="exact"/>
        <w:rPr>
          <w:sz w:val="20"/>
          <w:szCs w:val="20"/>
          <w:color w:val="auto"/>
        </w:rPr>
      </w:pPr>
    </w:p>
    <w:p>
      <w:pPr>
        <w:jc w:val="center"/>
        <w:ind w:right="-7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152"/>
          </w:cols>
          <w:pgMar w:left="328" w:top="1419" w:right="41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Side Letter Amendment Agreement as of the date first written above.</w:t>
      </w:r>
    </w:p>
    <w:p>
      <w:pPr>
        <w:spacing w:after="0" w:line="200" w:lineRule="exact"/>
        <w:rPr>
          <w:sz w:val="20"/>
          <w:szCs w:val="20"/>
          <w:color w:val="auto"/>
        </w:rPr>
      </w:pPr>
    </w:p>
    <w:p>
      <w:pPr>
        <w:spacing w:after="0" w:line="309"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NERDWALLET, INC.</w:t>
      </w:r>
    </w:p>
    <w:p>
      <w:pPr>
        <w:spacing w:after="0" w:line="200" w:lineRule="exact"/>
        <w:rPr>
          <w:sz w:val="20"/>
          <w:szCs w:val="20"/>
          <w:color w:val="auto"/>
        </w:rPr>
      </w:pPr>
    </w:p>
    <w:p>
      <w:pPr>
        <w:spacing w:after="0" w:line="400" w:lineRule="exact"/>
        <w:rPr>
          <w:sz w:val="20"/>
          <w:szCs w:val="20"/>
          <w:color w:val="auto"/>
        </w:rPr>
      </w:pPr>
    </w:p>
    <w:tbl>
      <w:tblPr>
        <w:tblLayout w:type="fixed"/>
        <w:tblInd w:w="5100" w:type="dxa"/>
        <w:tblCellMar>
          <w:top w:w="0" w:type="dxa"/>
          <w:left w:w="0" w:type="dxa"/>
          <w:bottom w:w="0" w:type="dxa"/>
          <w:right w:w="0" w:type="dxa"/>
        </w:tblCellMar>
      </w:tblP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Pr>
          <w:p>
            <w:pPr>
              <w:ind w:left="20"/>
              <w:spacing w:after="0"/>
              <w:rPr>
                <w:sz w:val="20"/>
                <w:szCs w:val="20"/>
                <w:color w:val="auto"/>
              </w:rPr>
            </w:pPr>
            <w:r>
              <w:rPr>
                <w:rFonts w:ascii="Arial" w:cs="Arial" w:eastAsia="Arial" w:hAnsi="Arial"/>
                <w:sz w:val="20"/>
                <w:szCs w:val="20"/>
                <w:color w:val="auto"/>
              </w:rPr>
              <w:t>/s/ Tim Chen</w:t>
            </w:r>
          </w:p>
        </w:tc>
      </w:tr>
      <w:tr>
        <w:trPr>
          <w:trHeight w:val="23"/>
        </w:trPr>
        <w:tc>
          <w:tcPr>
            <w:tcW w:w="9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900" w:type="dxa"/>
            <w:vAlign w:val="bottom"/>
          </w:tcPr>
          <w:p>
            <w:pPr>
              <w:spacing w:after="0"/>
              <w:rPr>
                <w:sz w:val="20"/>
                <w:szCs w:val="20"/>
                <w:color w:val="auto"/>
              </w:rPr>
            </w:pPr>
            <w:r>
              <w:rPr>
                <w:rFonts w:ascii="Arial" w:cs="Arial" w:eastAsia="Arial" w:hAnsi="Arial"/>
                <w:sz w:val="20"/>
                <w:szCs w:val="20"/>
                <w:color w:val="auto"/>
              </w:rPr>
              <w:t>Name:</w:t>
            </w:r>
          </w:p>
        </w:tc>
        <w:tc>
          <w:tcPr>
            <w:tcW w:w="4580" w:type="dxa"/>
            <w:vAlign w:val="bottom"/>
          </w:tcPr>
          <w:p>
            <w:pPr>
              <w:ind w:left="20"/>
              <w:spacing w:after="0"/>
              <w:rPr>
                <w:sz w:val="20"/>
                <w:szCs w:val="20"/>
                <w:color w:val="auto"/>
              </w:rPr>
            </w:pPr>
            <w:r>
              <w:rPr>
                <w:rFonts w:ascii="Arial" w:cs="Arial" w:eastAsia="Arial" w:hAnsi="Arial"/>
                <w:sz w:val="20"/>
                <w:szCs w:val="20"/>
                <w:color w:val="auto"/>
              </w:rPr>
              <w:t>Tim Chen</w:t>
            </w:r>
          </w:p>
        </w:tc>
      </w:tr>
      <w:tr>
        <w:trPr>
          <w:trHeight w:val="23"/>
        </w:trPr>
        <w:tc>
          <w:tcPr>
            <w:tcW w:w="9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23"/>
        </w:trPr>
        <w:tc>
          <w:tcPr>
            <w:tcW w:w="9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SIGNATURE PAGE TO SIDE LETTER AMENDMENT AGREEMENT</w:t>
      </w:r>
    </w:p>
    <w:p>
      <w:pPr>
        <w:sectPr>
          <w:pgSz w:w="11900" w:h="16838" w:orient="portrait"/>
          <w:cols w:equalWidth="0" w:num="1">
            <w:col w:w="10580"/>
          </w:cols>
          <w:pgMar w:left="980" w:top="1413" w:right="33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Side Letter Amendment Agreement as of the date first written above.</w:t>
      </w:r>
    </w:p>
    <w:p>
      <w:pPr>
        <w:spacing w:after="0" w:line="200" w:lineRule="exact"/>
        <w:rPr>
          <w:sz w:val="20"/>
          <w:szCs w:val="20"/>
          <w:color w:val="auto"/>
        </w:rPr>
      </w:pPr>
    </w:p>
    <w:p>
      <w:pPr>
        <w:spacing w:after="0" w:line="282"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INNOVIUS CAPITAL SIRIUS I, L.P.</w:t>
      </w:r>
    </w:p>
    <w:p>
      <w:pPr>
        <w:spacing w:after="0" w:line="200" w:lineRule="exact"/>
        <w:rPr>
          <w:sz w:val="20"/>
          <w:szCs w:val="20"/>
          <w:color w:val="auto"/>
        </w:rPr>
      </w:pPr>
    </w:p>
    <w:p>
      <w:pPr>
        <w:spacing w:after="0" w:line="400" w:lineRule="exact"/>
        <w:rPr>
          <w:sz w:val="20"/>
          <w:szCs w:val="20"/>
          <w:color w:val="auto"/>
        </w:rPr>
      </w:pPr>
    </w:p>
    <w:tbl>
      <w:tblPr>
        <w:tblLayout w:type="fixed"/>
        <w:tblInd w:w="5100" w:type="dxa"/>
        <w:tblCellMar>
          <w:top w:w="0" w:type="dxa"/>
          <w:left w:w="0" w:type="dxa"/>
          <w:bottom w:w="0" w:type="dxa"/>
          <w:right w:w="0" w:type="dxa"/>
        </w:tblCellMar>
      </w:tblP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Pr>
          <w:p>
            <w:pPr>
              <w:ind w:left="20"/>
              <w:spacing w:after="0"/>
              <w:rPr>
                <w:sz w:val="20"/>
                <w:szCs w:val="20"/>
                <w:color w:val="auto"/>
              </w:rPr>
            </w:pPr>
            <w:r>
              <w:rPr>
                <w:rFonts w:ascii="Arial" w:cs="Arial" w:eastAsia="Arial" w:hAnsi="Arial"/>
                <w:sz w:val="20"/>
                <w:szCs w:val="20"/>
                <w:color w:val="auto"/>
              </w:rPr>
              <w:t>/s/ Justin Moore</w:t>
            </w:r>
          </w:p>
        </w:tc>
      </w:tr>
      <w:tr>
        <w:trPr>
          <w:trHeight w:val="23"/>
        </w:trPr>
        <w:tc>
          <w:tcPr>
            <w:tcW w:w="9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900" w:type="dxa"/>
            <w:vAlign w:val="bottom"/>
          </w:tcPr>
          <w:p>
            <w:pPr>
              <w:spacing w:after="0"/>
              <w:rPr>
                <w:sz w:val="20"/>
                <w:szCs w:val="20"/>
                <w:color w:val="auto"/>
              </w:rPr>
            </w:pPr>
            <w:r>
              <w:rPr>
                <w:rFonts w:ascii="Arial" w:cs="Arial" w:eastAsia="Arial" w:hAnsi="Arial"/>
                <w:sz w:val="20"/>
                <w:szCs w:val="20"/>
                <w:color w:val="auto"/>
              </w:rPr>
              <w:t>Name:</w:t>
            </w:r>
          </w:p>
        </w:tc>
        <w:tc>
          <w:tcPr>
            <w:tcW w:w="4580" w:type="dxa"/>
            <w:vAlign w:val="bottom"/>
          </w:tcPr>
          <w:p>
            <w:pPr>
              <w:ind w:left="20"/>
              <w:spacing w:after="0"/>
              <w:rPr>
                <w:sz w:val="20"/>
                <w:szCs w:val="20"/>
                <w:color w:val="auto"/>
              </w:rPr>
            </w:pPr>
            <w:r>
              <w:rPr>
                <w:rFonts w:ascii="Arial" w:cs="Arial" w:eastAsia="Arial" w:hAnsi="Arial"/>
                <w:sz w:val="20"/>
                <w:szCs w:val="20"/>
                <w:color w:val="auto"/>
              </w:rPr>
              <w:t>Justin Moore</w:t>
            </w:r>
          </w:p>
        </w:tc>
      </w:tr>
      <w:tr>
        <w:trPr>
          <w:trHeight w:val="23"/>
        </w:trPr>
        <w:tc>
          <w:tcPr>
            <w:tcW w:w="9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ind w:left="20"/>
              <w:spacing w:after="0"/>
              <w:rPr>
                <w:sz w:val="20"/>
                <w:szCs w:val="20"/>
                <w:color w:val="auto"/>
              </w:rPr>
            </w:pPr>
            <w:r>
              <w:rPr>
                <w:rFonts w:ascii="Arial" w:cs="Arial" w:eastAsia="Arial" w:hAnsi="Arial"/>
                <w:sz w:val="20"/>
                <w:szCs w:val="20"/>
                <w:color w:val="auto"/>
              </w:rPr>
              <w:t>Managing Director</w:t>
            </w:r>
          </w:p>
        </w:tc>
      </w:tr>
      <w:tr>
        <w:trPr>
          <w:trHeight w:val="23"/>
        </w:trPr>
        <w:tc>
          <w:tcPr>
            <w:tcW w:w="9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SIGNATURE PAGE TO SIDE LETTER AMENDMENT AGREEMENT</w:t>
      </w:r>
    </w:p>
    <w:p>
      <w:pPr>
        <w:sectPr>
          <w:pgSz w:w="11900" w:h="16838" w:orient="portrait"/>
          <w:cols w:equalWidth="0" w:num="1">
            <w:col w:w="10580"/>
          </w:cols>
          <w:pgMar w:left="980" w:top="1399" w:right="3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consent to the use in this Registration Statement No. 333-260134 on Form S-1 of our report dated May 3, 2021 (October 20, 2021 as to the effect of the reverse stock split described in Note 1) relating to the financial statements of NerdWallet, Inc. We also consent to the reference to us under the heading “Experts” in such Registration Statement.</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Deloitte &amp; Touche LLP</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San Jose, California</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October 26,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68C1C"/>
    <w:multiLevelType w:val="hybridMultilevel"/>
    <w:lvl w:ilvl="0">
      <w:lvlJc w:val="left"/>
      <w:lvlText w:val="(%1)"/>
      <w:numFmt w:val="decimal"/>
      <w:start w:val="1"/>
    </w:lvl>
  </w:abstractNum>
  <w:abstractNum w:abstractNumId="1">
    <w:nsid w:val="46263DEC"/>
    <w:multiLevelType w:val="hybridMultilevel"/>
    <w:lvl w:ilvl="0">
      <w:lvlJc w:val="left"/>
      <w:lvlText w:val="(%1)"/>
      <w:numFmt w:val="decimal"/>
      <w:start w:val="1"/>
    </w:lvl>
  </w:abstractNum>
  <w:abstractNum w:abstractNumId="2">
    <w:nsid w:val="260D8C4A"/>
    <w:multiLevelType w:val="hybridMultilevel"/>
    <w:lvl w:ilvl="0">
      <w:lvlJc w:val="left"/>
      <w:lvlText w:val="•"/>
      <w:numFmt w:val="bullet"/>
      <w:start w:val="1"/>
    </w:lvl>
  </w:abstractNum>
  <w:abstractNum w:abstractNumId="3">
    <w:nsid w:val="73D4D3C4"/>
    <w:multiLevelType w:val="hybridMultilevel"/>
    <w:lvl w:ilvl="0">
      <w:lvlJc w:val="left"/>
      <w:lvlText w:val="•"/>
      <w:numFmt w:val="bullet"/>
      <w:start w:val="1"/>
    </w:lvl>
  </w:abstractNum>
  <w:abstractNum w:abstractNumId="4">
    <w:nsid w:val="746F2E30"/>
    <w:multiLevelType w:val="hybridMultilevel"/>
    <w:lvl w:ilvl="0">
      <w:lvlJc w:val="left"/>
      <w:lvlText w:val="•"/>
      <w:numFmt w:val="bullet"/>
      <w:start w:val="1"/>
    </w:lvl>
  </w:abstractNum>
  <w:abstractNum w:abstractNumId="5">
    <w:nsid w:val="6FDE8AF6"/>
    <w:multiLevelType w:val="hybridMultilevel"/>
    <w:lvl w:ilvl="0">
      <w:lvlJc w:val="left"/>
      <w:lvlText w:val="•"/>
      <w:numFmt w:val="bullet"/>
      <w:start w:val="1"/>
    </w:lvl>
  </w:abstractNum>
  <w:abstractNum w:abstractNumId="6">
    <w:nsid w:val="3FC32E20"/>
    <w:multiLevelType w:val="hybridMultilevel"/>
    <w:lvl w:ilvl="0">
      <w:lvlJc w:val="left"/>
      <w:lvlText w:val="•"/>
      <w:numFmt w:val="bullet"/>
      <w:start w:val="1"/>
    </w:lvl>
  </w:abstractNum>
  <w:abstractNum w:abstractNumId="7">
    <w:nsid w:val="49C0E823"/>
    <w:multiLevelType w:val="hybridMultilevel"/>
    <w:lvl w:ilvl="0">
      <w:lvlJc w:val="left"/>
      <w:lvlText w:val="•"/>
      <w:numFmt w:val="bullet"/>
      <w:start w:val="1"/>
    </w:lvl>
  </w:abstractNum>
  <w:abstractNum w:abstractNumId="8">
    <w:nsid w:val="14D53685"/>
    <w:multiLevelType w:val="hybridMultilevel"/>
    <w:lvl w:ilvl="0">
      <w:lvlJc w:val="left"/>
      <w:lvlText w:val="•"/>
      <w:numFmt w:val="bullet"/>
      <w:start w:val="1"/>
    </w:lvl>
  </w:abstractNum>
  <w:abstractNum w:abstractNumId="9">
    <w:nsid w:val="230F856C"/>
    <w:multiLevelType w:val="hybridMultilevel"/>
    <w:lvl w:ilvl="0">
      <w:lvlJc w:val="left"/>
      <w:lvlText w:val="•"/>
      <w:numFmt w:val="bullet"/>
      <w:start w:val="1"/>
    </w:lvl>
  </w:abstractNum>
  <w:abstractNum w:abstractNumId="10">
    <w:nsid w:val="6EAA85FB"/>
    <w:multiLevelType w:val="hybridMultilevel"/>
    <w:lvl w:ilvl="0">
      <w:lvlJc w:val="left"/>
      <w:lvlText w:val="•"/>
      <w:numFmt w:val="bullet"/>
      <w:start w:val="1"/>
    </w:lvl>
  </w:abstractNum>
  <w:abstractNum w:abstractNumId="11">
    <w:nsid w:val="3F06ECB2"/>
    <w:multiLevelType w:val="hybridMultilevel"/>
    <w:lvl w:ilvl="0">
      <w:lvlJc w:val="left"/>
      <w:lvlText w:val="•"/>
      <w:numFmt w:val="bullet"/>
      <w:start w:val="1"/>
    </w:lvl>
  </w:abstractNum>
  <w:abstractNum w:abstractNumId="12">
    <w:nsid w:val="3B594807"/>
    <w:multiLevelType w:val="hybridMultilevel"/>
    <w:lvl w:ilvl="0">
      <w:lvlJc w:val="left"/>
      <w:lvlText w:val="•"/>
      <w:numFmt w:val="bullet"/>
      <w:start w:val="1"/>
    </w:lvl>
    <w:lvl w:ilvl="1">
      <w:lvlJc w:val="left"/>
      <w:lvlText w:val="•"/>
      <w:numFmt w:val="bullet"/>
      <w:start w:val="1"/>
    </w:lvl>
  </w:abstractNum>
  <w:abstractNum w:abstractNumId="13">
    <w:nsid w:val="6CAA2304"/>
    <w:multiLevelType w:val="hybridMultilevel"/>
    <w:lvl w:ilvl="0">
      <w:lvlJc w:val="left"/>
      <w:lvlText w:val="•"/>
      <w:numFmt w:val="bullet"/>
      <w:start w:val="1"/>
    </w:lvl>
  </w:abstractNum>
  <w:abstractNum w:abstractNumId="14">
    <w:nsid w:val="3F7C2FF4"/>
    <w:multiLevelType w:val="hybridMultilevel"/>
    <w:lvl w:ilvl="0">
      <w:lvlJc w:val="left"/>
      <w:lvlText w:val="(%1)"/>
      <w:numFmt w:val="decimal"/>
      <w:start w:val="2"/>
    </w:lvl>
  </w:abstractNum>
  <w:abstractNum w:abstractNumId="15">
    <w:nsid w:val="25413BEC"/>
    <w:multiLevelType w:val="hybridMultilevel"/>
    <w:lvl w:ilvl="0">
      <w:lvlJc w:val="left"/>
      <w:lvlText w:val="(%1)"/>
      <w:numFmt w:val="decimal"/>
      <w:start w:val="3"/>
    </w:lvl>
  </w:abstractNum>
  <w:abstractNum w:abstractNumId="16">
    <w:nsid w:val="17180B0B"/>
    <w:multiLevelType w:val="hybridMultilevel"/>
    <w:lvl w:ilvl="0">
      <w:lvlJc w:val="left"/>
      <w:lvlText w:val="•"/>
      <w:numFmt w:val="bullet"/>
      <w:start w:val="1"/>
    </w:lvl>
  </w:abstractNum>
  <w:abstractNum w:abstractNumId="17">
    <w:nsid w:val="579328B9"/>
    <w:multiLevelType w:val="hybridMultilevel"/>
    <w:lvl w:ilvl="0">
      <w:lvlJc w:val="left"/>
      <w:lvlText w:val="•"/>
      <w:numFmt w:val="bullet"/>
      <w:start w:val="1"/>
    </w:lvl>
  </w:abstractNum>
  <w:abstractNum w:abstractNumId="18">
    <w:nsid w:val="5D205E20"/>
    <w:multiLevelType w:val="hybridMultilevel"/>
    <w:lvl w:ilvl="0">
      <w:lvlJc w:val="left"/>
      <w:lvlText w:val="•"/>
      <w:numFmt w:val="bullet"/>
      <w:start w:val="1"/>
    </w:lvl>
  </w:abstractNum>
  <w:abstractNum w:abstractNumId="19">
    <w:nsid w:val="11CCA8BA"/>
    <w:multiLevelType w:val="hybridMultilevel"/>
    <w:lvl w:ilvl="0">
      <w:lvlJc w:val="left"/>
      <w:lvlText w:val="•"/>
      <w:numFmt w:val="bullet"/>
      <w:start w:val="1"/>
    </w:lvl>
  </w:abstractNum>
  <w:abstractNum w:abstractNumId="20">
    <w:nsid w:val="4D32AB86"/>
    <w:multiLevelType w:val="hybridMultilevel"/>
    <w:lvl w:ilvl="0">
      <w:lvlJc w:val="left"/>
      <w:lvlText w:val="•"/>
      <w:numFmt w:val="bullet"/>
      <w:start w:val="1"/>
    </w:lvl>
  </w:abstractNum>
  <w:abstractNum w:abstractNumId="21">
    <w:nsid w:val="3F07ACC3"/>
    <w:multiLevelType w:val="hybridMultilevel"/>
    <w:lvl w:ilvl="0">
      <w:lvlJc w:val="left"/>
      <w:lvlText w:val="•"/>
      <w:numFmt w:val="bullet"/>
      <w:start w:val="1"/>
    </w:lvl>
  </w:abstractNum>
  <w:abstractNum w:abstractNumId="22">
    <w:nsid w:val="6B47F63E"/>
    <w:multiLevelType w:val="hybridMultilevel"/>
    <w:lvl w:ilvl="0">
      <w:lvlJc w:val="left"/>
      <w:lvlText w:val="•"/>
      <w:numFmt w:val="bullet"/>
      <w:start w:val="1"/>
    </w:lvl>
  </w:abstractNum>
  <w:abstractNum w:abstractNumId="23">
    <w:nsid w:val="5CB44A05"/>
    <w:multiLevelType w:val="hybridMultilevel"/>
    <w:lvl w:ilvl="0">
      <w:lvlJc w:val="left"/>
      <w:lvlText w:val="•"/>
      <w:numFmt w:val="bullet"/>
      <w:start w:val="1"/>
    </w:lvl>
  </w:abstractNum>
  <w:abstractNum w:abstractNumId="24">
    <w:nsid w:val="16CF80F1"/>
    <w:multiLevelType w:val="hybridMultilevel"/>
    <w:lvl w:ilvl="0">
      <w:lvlJc w:val="left"/>
      <w:lvlText w:val="•"/>
      <w:numFmt w:val="bullet"/>
      <w:start w:val="1"/>
    </w:lvl>
  </w:abstractNum>
  <w:abstractNum w:abstractNumId="25">
    <w:nsid w:val="1C695DEC"/>
    <w:multiLevelType w:val="hybridMultilevel"/>
    <w:lvl w:ilvl="0">
      <w:lvlJc w:val="left"/>
      <w:lvlText w:val="•"/>
      <w:numFmt w:val="bullet"/>
      <w:start w:val="1"/>
    </w:lvl>
  </w:abstractNum>
  <w:abstractNum w:abstractNumId="26">
    <w:nsid w:val="3FCFAED9"/>
    <w:multiLevelType w:val="hybridMultilevel"/>
    <w:lvl w:ilvl="0">
      <w:lvlJc w:val="left"/>
      <w:lvlText w:val="•"/>
      <w:numFmt w:val="bullet"/>
      <w:start w:val="1"/>
    </w:lvl>
  </w:abstractNum>
  <w:abstractNum w:abstractNumId="27">
    <w:nsid w:val="F856867"/>
    <w:multiLevelType w:val="hybridMultilevel"/>
    <w:lvl w:ilvl="0">
      <w:lvlJc w:val="left"/>
      <w:lvlText w:val="•"/>
      <w:numFmt w:val="bullet"/>
      <w:start w:val="1"/>
    </w:lvl>
  </w:abstractNum>
  <w:abstractNum w:abstractNumId="28">
    <w:nsid w:val="11B1CC33"/>
    <w:multiLevelType w:val="hybridMultilevel"/>
    <w:lvl w:ilvl="0">
      <w:lvlJc w:val="left"/>
      <w:lvlText w:val="(%1)"/>
      <w:numFmt w:val="lowerLetter"/>
      <w:start w:val="3"/>
    </w:lvl>
  </w:abstractNum>
  <w:abstractNum w:abstractNumId="29">
    <w:nsid w:val="2E22FBB7"/>
    <w:multiLevelType w:val="hybridMultilevel"/>
    <w:lvl w:ilvl="0">
      <w:lvlJc w:val="left"/>
      <w:lvlText w:val="•"/>
      <w:numFmt w:val="bullet"/>
      <w:start w:val="1"/>
    </w:lvl>
  </w:abstractNum>
  <w:abstractNum w:abstractNumId="30">
    <w:nsid w:val="29934699"/>
    <w:multiLevelType w:val="hybridMultilevel"/>
    <w:lvl w:ilvl="0">
      <w:lvlJc w:val="left"/>
      <w:lvlText w:val="•"/>
      <w:numFmt w:val="bullet"/>
      <w:start w:val="1"/>
    </w:lvl>
  </w:abstractNum>
  <w:abstractNum w:abstractNumId="31">
    <w:nsid w:val="77485850"/>
    <w:multiLevelType w:val="hybridMultilevel"/>
    <w:lvl w:ilvl="0">
      <w:lvlJc w:val="left"/>
      <w:lvlText w:val="•"/>
      <w:numFmt w:val="bullet"/>
      <w:start w:val="1"/>
    </w:lvl>
  </w:abstractNum>
  <w:abstractNum w:abstractNumId="32">
    <w:nsid w:val="744939A3"/>
    <w:multiLevelType w:val="hybridMultilevel"/>
    <w:lvl w:ilvl="0">
      <w:lvlJc w:val="left"/>
      <w:lvlText w:val="•"/>
      <w:numFmt w:val="bullet"/>
      <w:start w:val="1"/>
    </w:lvl>
  </w:abstractNum>
  <w:abstractNum w:abstractNumId="33">
    <w:nsid w:val="4FA0D2E3"/>
    <w:multiLevelType w:val="hybridMultilevel"/>
    <w:lvl w:ilvl="0">
      <w:lvlJc w:val="left"/>
      <w:lvlText w:val="•"/>
      <w:numFmt w:val="bullet"/>
      <w:start w:val="1"/>
    </w:lvl>
  </w:abstractNum>
  <w:abstractNum w:abstractNumId="34">
    <w:nsid w:val="6B1D2C14"/>
    <w:multiLevelType w:val="hybridMultilevel"/>
    <w:lvl w:ilvl="0">
      <w:lvlJc w:val="left"/>
      <w:lvlText w:val="•"/>
      <w:numFmt w:val="bullet"/>
      <w:start w:val="1"/>
    </w:lvl>
  </w:abstractNum>
  <w:abstractNum w:abstractNumId="35">
    <w:nsid w:val="68B867D3"/>
    <w:multiLevelType w:val="hybridMultilevel"/>
    <w:lvl w:ilvl="0">
      <w:lvlJc w:val="left"/>
      <w:lvlText w:val="•"/>
      <w:numFmt w:val="bullet"/>
      <w:start w:val="1"/>
    </w:lvl>
  </w:abstractNum>
  <w:abstractNum w:abstractNumId="36">
    <w:nsid w:val="3F7F5DD9"/>
    <w:multiLevelType w:val="hybridMultilevel"/>
    <w:lvl w:ilvl="0">
      <w:lvlJc w:val="left"/>
      <w:lvlText w:val="(%1)"/>
      <w:numFmt w:val="decimal"/>
      <w:start w:val="1"/>
    </w:lvl>
  </w:abstractNum>
  <w:abstractNum w:abstractNumId="37">
    <w:nsid w:val="2AE05A34"/>
    <w:multiLevelType w:val="hybridMultilevel"/>
    <w:lvl w:ilvl="0">
      <w:lvlJc w:val="left"/>
      <w:lvlText w:val="•"/>
      <w:numFmt w:val="bullet"/>
      <w:start w:val="1"/>
    </w:lvl>
  </w:abstractNum>
  <w:abstractNum w:abstractNumId="38">
    <w:nsid w:val="32794FF7"/>
    <w:multiLevelType w:val="hybridMultilevel"/>
    <w:lvl w:ilvl="0">
      <w:lvlJc w:val="left"/>
      <w:lvlText w:val="•"/>
      <w:numFmt w:val="bullet"/>
      <w:start w:val="1"/>
    </w:lvl>
    <w:lvl w:ilvl="1">
      <w:lvlJc w:val="left"/>
      <w:lvlText w:val="•"/>
      <w:numFmt w:val="bullet"/>
      <w:start w:val="1"/>
    </w:lvl>
  </w:abstractNum>
  <w:abstractNum w:abstractNumId="39">
    <w:nsid w:val="5454945E"/>
    <w:multiLevelType w:val="hybridMultilevel"/>
    <w:lvl w:ilvl="0">
      <w:lvlJc w:val="left"/>
      <w:lvlText w:val="•"/>
      <w:numFmt w:val="bullet"/>
      <w:start w:val="1"/>
    </w:lvl>
    <w:lvl w:ilvl="1">
      <w:lvlJc w:val="left"/>
      <w:lvlText w:val="•"/>
      <w:numFmt w:val="bullet"/>
      <w:start w:val="1"/>
    </w:lvl>
  </w:abstractNum>
  <w:abstractNum w:abstractNumId="40">
    <w:nsid w:val="4DEFDFA0"/>
    <w:multiLevelType w:val="hybridMultilevel"/>
    <w:lvl w:ilvl="0">
      <w:lvlJc w:val="left"/>
      <w:lvlText w:val="•"/>
      <w:numFmt w:val="bullet"/>
      <w:start w:val="1"/>
    </w:lvl>
  </w:abstractNum>
  <w:abstractNum w:abstractNumId="41">
    <w:nsid w:val="2123D5F2"/>
    <w:multiLevelType w:val="hybridMultilevel"/>
    <w:lvl w:ilvl="0">
      <w:lvlJc w:val="left"/>
      <w:lvlText w:val="•"/>
      <w:numFmt w:val="bullet"/>
      <w:start w:val="1"/>
    </w:lvl>
  </w:abstractNum>
  <w:abstractNum w:abstractNumId="42">
    <w:nsid w:val="135B8110"/>
    <w:multiLevelType w:val="hybridMultilevel"/>
    <w:lvl w:ilvl="0">
      <w:lvlJc w:val="left"/>
      <w:lvlText w:val="(%1)"/>
      <w:numFmt w:val="decimal"/>
      <w:start w:val="1"/>
    </w:lvl>
  </w:abstractNum>
  <w:abstractNum w:abstractNumId="43">
    <w:nsid w:val="94927A8"/>
    <w:multiLevelType w:val="hybridMultilevel"/>
    <w:lvl w:ilvl="0">
      <w:lvlJc w:val="left"/>
      <w:lvlText w:val="(%1)"/>
      <w:numFmt w:val="decimal"/>
      <w:start w:val="1"/>
    </w:lvl>
  </w:abstractNum>
  <w:abstractNum w:abstractNumId="44">
    <w:nsid w:val="DCDF8F6"/>
    <w:multiLevelType w:val="hybridMultilevel"/>
    <w:lvl w:ilvl="0">
      <w:lvlJc w:val="left"/>
      <w:lvlText w:val="(%1)"/>
      <w:numFmt w:val="decimal"/>
      <w:start w:val="2"/>
    </w:lvl>
  </w:abstractNum>
  <w:abstractNum w:abstractNumId="45">
    <w:nsid w:val="52D7B105"/>
    <w:multiLevelType w:val="hybridMultilevel"/>
    <w:lvl w:ilvl="0">
      <w:lvlJc w:val="left"/>
      <w:lvlText w:val="(%1)"/>
      <w:numFmt w:val="decimal"/>
      <w:start w:val="1"/>
    </w:lvl>
  </w:abstractNum>
  <w:abstractNum w:abstractNumId="46">
    <w:nsid w:val="2E8A6394"/>
    <w:multiLevelType w:val="hybridMultilevel"/>
    <w:lvl w:ilvl="0">
      <w:lvlJc w:val="left"/>
      <w:lvlText w:val="(%1)"/>
      <w:numFmt w:val="decimal"/>
      <w:start w:val="1"/>
    </w:lvl>
  </w:abstractNum>
  <w:abstractNum w:abstractNumId="47">
    <w:nsid w:val="24E60401"/>
    <w:multiLevelType w:val="hybridMultilevel"/>
    <w:lvl w:ilvl="0">
      <w:lvlJc w:val="left"/>
      <w:lvlText w:val="•"/>
      <w:numFmt w:val="bullet"/>
      <w:start w:val="1"/>
    </w:lvl>
  </w:abstractNum>
  <w:abstractNum w:abstractNumId="48">
    <w:nsid w:val="2A6AD9BE"/>
    <w:multiLevelType w:val="hybridMultilevel"/>
    <w:lvl w:ilvl="0">
      <w:lvlJc w:val="left"/>
      <w:lvlText w:val="•"/>
      <w:numFmt w:val="bullet"/>
      <w:start w:val="1"/>
    </w:lvl>
  </w:abstractNum>
  <w:abstractNum w:abstractNumId="49">
    <w:nsid w:val="BAAC1B4"/>
    <w:multiLevelType w:val="hybridMultilevel"/>
    <w:lvl w:ilvl="0">
      <w:lvlJc w:val="left"/>
      <w:lvlText w:val="(%1)"/>
      <w:numFmt w:val="lowerRoman"/>
      <w:start w:val="1"/>
    </w:lvl>
  </w:abstractNum>
  <w:abstractNum w:abstractNumId="50">
    <w:nsid w:val="36B2ACBC"/>
    <w:multiLevelType w:val="hybridMultilevel"/>
    <w:lvl w:ilvl="0">
      <w:lvlJc w:val="left"/>
      <w:lvlText w:val="•"/>
      <w:numFmt w:val="bullet"/>
      <w:start w:val="1"/>
    </w:lvl>
  </w:abstractNum>
  <w:abstractNum w:abstractNumId="51">
    <w:nsid w:val="779D8544"/>
    <w:multiLevelType w:val="hybridMultilevel"/>
    <w:lvl w:ilvl="0">
      <w:lvlJc w:val="left"/>
      <w:lvlText w:val="•"/>
      <w:numFmt w:val="bullet"/>
      <w:start w:val="1"/>
    </w:lvl>
  </w:abstractNum>
  <w:abstractNum w:abstractNumId="52">
    <w:nsid w:val="4AB26E78"/>
    <w:multiLevelType w:val="hybridMultilevel"/>
    <w:lvl w:ilvl="0">
      <w:lvlJc w:val="left"/>
      <w:lvlText w:val="•"/>
      <w:numFmt w:val="bullet"/>
      <w:start w:val="1"/>
    </w:lvl>
  </w:abstractNum>
  <w:abstractNum w:abstractNumId="53">
    <w:nsid w:val="21FAA2FA"/>
    <w:multiLevelType w:val="hybridMultilevel"/>
    <w:lvl w:ilvl="0">
      <w:lvlJc w:val="left"/>
      <w:lvlText w:val="•"/>
      <w:numFmt w:val="bullet"/>
      <w:start w:val="1"/>
    </w:lvl>
  </w:abstractNum>
  <w:abstractNum w:abstractNumId="54">
    <w:nsid w:val="5451CF49"/>
    <w:multiLevelType w:val="hybridMultilevel"/>
    <w:lvl w:ilvl="0">
      <w:lvlJc w:val="left"/>
      <w:lvlText w:val="•"/>
      <w:numFmt w:val="bullet"/>
      <w:start w:val="1"/>
    </w:lvl>
  </w:abstractNum>
  <w:abstractNum w:abstractNumId="55">
    <w:nsid w:val="6181EF69"/>
    <w:multiLevelType w:val="hybridMultilevel"/>
    <w:lvl w:ilvl="0">
      <w:lvlJc w:val="left"/>
      <w:lvlText w:val="•"/>
      <w:numFmt w:val="bullet"/>
      <w:start w:val="1"/>
    </w:lvl>
  </w:abstractNum>
  <w:abstractNum w:abstractNumId="56">
    <w:nsid w:val="3E6400E6"/>
    <w:multiLevelType w:val="hybridMultilevel"/>
    <w:lvl w:ilvl="0">
      <w:lvlJc w:val="left"/>
      <w:lvlText w:val="•"/>
      <w:numFmt w:val="bullet"/>
      <w:start w:val="1"/>
    </w:lvl>
  </w:abstractNum>
  <w:abstractNum w:abstractNumId="57">
    <w:nsid w:val="14217E23"/>
    <w:multiLevelType w:val="hybridMultilevel"/>
    <w:lvl w:ilvl="0">
      <w:lvlJc w:val="left"/>
      <w:lvlText w:val="•"/>
      <w:numFmt w:val="bullet"/>
      <w:start w:val="1"/>
    </w:lvl>
  </w:abstractNum>
  <w:abstractNum w:abstractNumId="58">
    <w:nsid w:val="710757D0"/>
    <w:multiLevelType w:val="hybridMultilevel"/>
    <w:lvl w:ilvl="0">
      <w:lvlJc w:val="left"/>
      <w:lvlText w:val="•"/>
      <w:numFmt w:val="bullet"/>
      <w:start w:val="1"/>
    </w:lvl>
  </w:abstractNum>
  <w:abstractNum w:abstractNumId="59">
    <w:nsid w:val="5015CD1A"/>
    <w:multiLevelType w:val="hybridMultilevel"/>
    <w:lvl w:ilvl="0">
      <w:lvlJc w:val="left"/>
      <w:lvlText w:val="•"/>
      <w:numFmt w:val="bullet"/>
      <w:start w:val="1"/>
    </w:lvl>
  </w:abstractNum>
  <w:abstractNum w:abstractNumId="60">
    <w:nsid w:val="424479DA"/>
    <w:multiLevelType w:val="hybridMultilevel"/>
    <w:lvl w:ilvl="0">
      <w:lvlJc w:val="left"/>
      <w:lvlText w:val="•"/>
      <w:numFmt w:val="bullet"/>
      <w:start w:val="1"/>
    </w:lvl>
  </w:abstractNum>
  <w:abstractNum w:abstractNumId="61">
    <w:nsid w:val="1A9A9E69"/>
    <w:multiLevelType w:val="hybridMultilevel"/>
    <w:lvl w:ilvl="0">
      <w:lvlJc w:val="left"/>
      <w:lvlText w:val="•"/>
      <w:numFmt w:val="bullet"/>
      <w:start w:val="1"/>
    </w:lvl>
  </w:abstractNum>
  <w:abstractNum w:abstractNumId="62">
    <w:nsid w:val="475E256A"/>
    <w:multiLevelType w:val="hybridMultilevel"/>
    <w:lvl w:ilvl="0">
      <w:lvlJc w:val="left"/>
      <w:lvlText w:val="•"/>
      <w:numFmt w:val="bullet"/>
      <w:start w:val="1"/>
    </w:lvl>
  </w:abstractNum>
  <w:abstractNum w:abstractNumId="63">
    <w:nsid w:val="368DB37E"/>
    <w:multiLevelType w:val="hybridMultilevel"/>
    <w:lvl w:ilvl="0">
      <w:lvlJc w:val="left"/>
      <w:lvlText w:val="•"/>
      <w:numFmt w:val="bullet"/>
      <w:start w:val="1"/>
    </w:lvl>
  </w:abstractNum>
  <w:abstractNum w:abstractNumId="64">
    <w:nsid w:val="6A3B714C"/>
    <w:multiLevelType w:val="hybridMultilevel"/>
    <w:lvl w:ilvl="0">
      <w:lvlJc w:val="left"/>
      <w:lvlText w:val="•"/>
      <w:numFmt w:val="bullet"/>
      <w:start w:val="1"/>
    </w:lvl>
  </w:abstractNum>
  <w:abstractNum w:abstractNumId="65">
    <w:nsid w:val="327B517E"/>
    <w:multiLevelType w:val="hybridMultilevel"/>
    <w:lvl w:ilvl="0">
      <w:lvlJc w:val="left"/>
      <w:lvlText w:val="•"/>
      <w:numFmt w:val="bullet"/>
      <w:start w:val="1"/>
    </w:lvl>
  </w:abstractNum>
  <w:abstractNum w:abstractNumId="66">
    <w:nsid w:val="1F461B51"/>
    <w:multiLevelType w:val="hybridMultilevel"/>
    <w:lvl w:ilvl="0">
      <w:lvlJc w:val="left"/>
      <w:lvlText w:val="•"/>
      <w:numFmt w:val="bullet"/>
      <w:start w:val="1"/>
    </w:lvl>
  </w:abstractNum>
  <w:abstractNum w:abstractNumId="67">
    <w:nsid w:val="29BACF25"/>
    <w:multiLevelType w:val="hybridMultilevel"/>
    <w:lvl w:ilvl="0">
      <w:lvlJc w:val="left"/>
      <w:lvlText w:val="(%1)"/>
      <w:numFmt w:val="decimal"/>
      <w:start w:val="1"/>
    </w:lvl>
  </w:abstractNum>
  <w:abstractNum w:abstractNumId="68">
    <w:nsid w:val="5D5BABB3"/>
    <w:multiLevelType w:val="hybridMultilevel"/>
    <w:lvl w:ilvl="0">
      <w:lvlJc w:val="left"/>
      <w:lvlText w:val="•"/>
      <w:numFmt w:val="bullet"/>
      <w:start w:val="1"/>
    </w:lvl>
  </w:abstractNum>
  <w:abstractNum w:abstractNumId="69">
    <w:nsid w:val="51BF6B48"/>
    <w:multiLevelType w:val="hybridMultilevel"/>
    <w:lvl w:ilvl="0">
      <w:lvlJc w:val="left"/>
      <w:lvlText w:val="•"/>
      <w:numFmt w:val="bullet"/>
      <w:start w:val="1"/>
    </w:lvl>
  </w:abstractNum>
  <w:abstractNum w:abstractNumId="70">
    <w:nsid w:val="7E0F6384"/>
    <w:multiLevelType w:val="hybridMultilevel"/>
    <w:lvl w:ilvl="0">
      <w:lvlJc w:val="left"/>
      <w:lvlText w:val="(%1)"/>
      <w:numFmt w:val="decimal"/>
      <w:start w:val="5"/>
    </w:lvl>
  </w:abstractNum>
  <w:abstractNum w:abstractNumId="71">
    <w:nsid w:val="2B4B8B53"/>
    <w:multiLevelType w:val="hybridMultilevel"/>
    <w:lvl w:ilvl="0">
      <w:lvlJc w:val="left"/>
      <w:lvlText w:val="•"/>
      <w:numFmt w:val="bullet"/>
      <w:start w:val="1"/>
    </w:lvl>
  </w:abstractNum>
  <w:abstractNum w:abstractNumId="72">
    <w:nsid w:val="72E3413A"/>
    <w:multiLevelType w:val="hybridMultilevel"/>
    <w:lvl w:ilvl="0">
      <w:lvlJc w:val="left"/>
      <w:lvlText w:val="•"/>
      <w:numFmt w:val="bullet"/>
      <w:start w:val="1"/>
    </w:lvl>
  </w:abstractNum>
  <w:abstractNum w:abstractNumId="73">
    <w:nsid w:val="116AE494"/>
    <w:multiLevelType w:val="hybridMultilevel"/>
    <w:lvl w:ilvl="0">
      <w:lvlJc w:val="left"/>
      <w:lvlText w:val="(%1)"/>
      <w:numFmt w:val="decimal"/>
      <w:start w:val="1"/>
    </w:lvl>
  </w:abstractNum>
  <w:abstractNum w:abstractNumId="74">
    <w:nsid w:val="3494B2FB"/>
    <w:multiLevelType w:val="hybridMultilevel"/>
    <w:lvl w:ilvl="0">
      <w:lvlJc w:val="left"/>
      <w:lvlText w:val="(%1)"/>
      <w:numFmt w:val="upperLetter"/>
      <w:start w:val="2"/>
    </w:lvl>
  </w:abstractNum>
  <w:abstractNum w:abstractNumId="75">
    <w:nsid w:val="B13A31"/>
    <w:multiLevelType w:val="hybridMultilevel"/>
    <w:lvl w:ilvl="0">
      <w:lvlJc w:val="left"/>
      <w:lvlText w:val="(%1)"/>
      <w:numFmt w:val="decimal"/>
      <w:start w:val="1"/>
    </w:lvl>
    <w:lvl w:ilvl="1">
      <w:lvlJc w:val="left"/>
      <w:lvlText w:val="%2."/>
      <w:numFmt w:val="lowerLetter"/>
      <w:start w:val="1"/>
    </w:lvl>
  </w:abstractNum>
  <w:abstractNum w:abstractNumId="76">
    <w:nsid w:val="64429599"/>
    <w:multiLevelType w:val="hybridMultilevel"/>
    <w:lvl w:ilvl="0">
      <w:lvlJc w:val="left"/>
      <w:lvlText w:val="%1."/>
      <w:numFmt w:val="lowerLetter"/>
      <w:start w:val="3"/>
    </w:lvl>
  </w:abstractNum>
  <w:abstractNum w:abstractNumId="77">
    <w:nsid w:val="631F1690"/>
    <w:multiLevelType w:val="hybridMultilevel"/>
    <w:lvl w:ilvl="0">
      <w:lvlJc w:val="left"/>
      <w:lvlText w:val="(%1)"/>
      <w:numFmt w:val="decimal"/>
      <w:start w:val="6"/>
    </w:lvl>
  </w:abstractNum>
  <w:abstractNum w:abstractNumId="78">
    <w:nsid w:val="25973E32"/>
    <w:multiLevelType w:val="hybridMultilevel"/>
    <w:lvl w:ilvl="0">
      <w:lvlJc w:val="left"/>
      <w:lvlText w:val="•"/>
      <w:numFmt w:val="bullet"/>
      <w:start w:val="1"/>
    </w:lvl>
  </w:abstractNum>
  <w:abstractNum w:abstractNumId="79">
    <w:nsid w:val="EAD6F57"/>
    <w:multiLevelType w:val="hybridMultilevel"/>
    <w:lvl w:ilvl="0">
      <w:lvlJc w:val="left"/>
      <w:lvlText w:val="•"/>
      <w:numFmt w:val="bullet"/>
      <w:start w:val="1"/>
    </w:lvl>
  </w:abstractNum>
  <w:abstractNum w:abstractNumId="80">
    <w:nsid w:val="6EC9D844"/>
    <w:multiLevelType w:val="hybridMultilevel"/>
    <w:lvl w:ilvl="0">
      <w:lvlJc w:val="left"/>
      <w:lvlText w:val="(%1)"/>
      <w:numFmt w:val="decimal"/>
      <w:start w:val="10"/>
    </w:lvl>
  </w:abstractNum>
  <w:abstractNum w:abstractNumId="81">
    <w:nsid w:val="5C49EAEE"/>
    <w:multiLevelType w:val="hybridMultilevel"/>
    <w:lvl w:ilvl="0">
      <w:lvlJc w:val="left"/>
      <w:lvlText w:val="•"/>
      <w:numFmt w:val="bullet"/>
      <w:start w:val="1"/>
    </w:lvl>
  </w:abstractNum>
  <w:abstractNum w:abstractNumId="82">
    <w:nsid w:val="64AF49B"/>
    <w:multiLevelType w:val="hybridMultilevel"/>
    <w:lvl w:ilvl="0">
      <w:lvlJc w:val="left"/>
      <w:lvlText w:val="•"/>
      <w:numFmt w:val="bullet"/>
      <w:start w:val="1"/>
    </w:lvl>
  </w:abstractNum>
  <w:abstractNum w:abstractNumId="83">
    <w:nsid w:val="397C46BC"/>
    <w:multiLevelType w:val="hybridMultilevel"/>
    <w:lvl w:ilvl="0">
      <w:lvlJc w:val="left"/>
      <w:lvlText w:val="•"/>
      <w:numFmt w:val="bullet"/>
      <w:start w:val="1"/>
    </w:lvl>
  </w:abstractNum>
  <w:abstractNum w:abstractNumId="84">
    <w:nsid w:val="7E448DE9"/>
    <w:multiLevelType w:val="hybridMultilevel"/>
    <w:lvl w:ilvl="0">
      <w:lvlJc w:val="left"/>
      <w:lvlText w:val="•"/>
      <w:numFmt w:val="bullet"/>
      <w:start w:val="1"/>
    </w:lvl>
  </w:abstractNum>
  <w:abstractNum w:abstractNumId="85">
    <w:nsid w:val="5A9CC3E5"/>
    <w:multiLevelType w:val="hybridMultilevel"/>
    <w:lvl w:ilvl="0">
      <w:lvlJc w:val="left"/>
      <w:lvlText w:val="(%1)"/>
      <w:numFmt w:val="decimal"/>
      <w:start w:val="1"/>
    </w:lvl>
  </w:abstractNum>
  <w:abstractNum w:abstractNumId="86">
    <w:nsid w:val="1AFE3625"/>
    <w:multiLevelType w:val="hybridMultilevel"/>
    <w:lvl w:ilvl="0">
      <w:lvlJc w:val="left"/>
      <w:lvlText w:val="•"/>
      <w:numFmt w:val="bullet"/>
      <w:start w:val="1"/>
    </w:lvl>
  </w:abstractNum>
  <w:abstractNum w:abstractNumId="87">
    <w:nsid w:val="3CA88ECF"/>
    <w:multiLevelType w:val="hybridMultilevel"/>
    <w:lvl w:ilvl="0">
      <w:lvlJc w:val="left"/>
      <w:lvlText w:val="*"/>
      <w:numFmt w:val="bullet"/>
      <w:start w:val="1"/>
    </w:lvl>
  </w:abstractNum>
  <w:abstractNum w:abstractNumId="88">
    <w:nsid w:val="6EBE4208"/>
    <w:multiLevelType w:val="hybridMultilevel"/>
    <w:lvl w:ilvl="0">
      <w:lvlJc w:val="left"/>
      <w:lvlText w:val="(%1)"/>
      <w:numFmt w:val="decimal"/>
      <w:start w:val="1"/>
    </w:lvl>
  </w:abstractNum>
  <w:abstractNum w:abstractNumId="89">
    <w:nsid w:val="C058DF5"/>
    <w:multiLevelType w:val="hybridMultilevel"/>
    <w:lvl w:ilvl="0">
      <w:lvlJc w:val="left"/>
      <w:lvlText w:val="(%1)"/>
      <w:numFmt w:val="decimal"/>
      <w:start w:val="5"/>
    </w:lvl>
  </w:abstractNum>
  <w:abstractNum w:abstractNumId="90">
    <w:nsid w:val="CBE5BE9"/>
    <w:multiLevelType w:val="hybridMultilevel"/>
    <w:lvl w:ilvl="0">
      <w:lvlJc w:val="left"/>
      <w:lvlText w:val="•"/>
      <w:numFmt w:val="bullet"/>
      <w:start w:val="1"/>
    </w:lvl>
  </w:abstractNum>
  <w:abstractNum w:abstractNumId="91">
    <w:nsid w:val="3102BBE2"/>
    <w:multiLevelType w:val="hybridMultilevel"/>
    <w:lvl w:ilvl="0">
      <w:lvlJc w:val="left"/>
      <w:lvlText w:val="•"/>
      <w:numFmt w:val="bullet"/>
      <w:start w:val="1"/>
    </w:lvl>
  </w:abstractNum>
  <w:abstractNum w:abstractNumId="92">
    <w:nsid w:val="26A02C5E"/>
    <w:multiLevelType w:val="hybridMultilevel"/>
    <w:lvl w:ilvl="0">
      <w:lvlJc w:val="left"/>
      <w:lvlText w:val="•"/>
      <w:numFmt w:val="bullet"/>
      <w:start w:val="1"/>
    </w:lvl>
  </w:abstractNum>
  <w:abstractNum w:abstractNumId="93">
    <w:nsid w:val="541C8153"/>
    <w:multiLevelType w:val="hybridMultilevel"/>
    <w:lvl w:ilvl="0">
      <w:lvlJc w:val="left"/>
      <w:lvlText w:val="(%1)"/>
      <w:numFmt w:val="upperLetter"/>
      <w:start w:val="1"/>
    </w:lvl>
  </w:abstractNum>
  <w:abstractNum w:abstractNumId="94">
    <w:nsid w:val="67906F60"/>
    <w:multiLevelType w:val="hybridMultilevel"/>
    <w:lvl w:ilvl="0">
      <w:lvlJc w:val="left"/>
      <w:lvlText w:val="(%1)"/>
      <w:numFmt w:val="lowerLetter"/>
      <w:start w:val="1"/>
    </w:lvl>
  </w:abstractNum>
  <w:abstractNum w:abstractNumId="95">
    <w:nsid w:val="10DB9DAA"/>
    <w:multiLevelType w:val="hybridMultilevel"/>
    <w:lvl w:ilvl="0">
      <w:lvlJc w:val="left"/>
      <w:lvlText w:val="(%1)"/>
      <w:numFmt w:val="lowerLetter"/>
      <w:start w:val="3"/>
    </w:lvl>
  </w:abstractNum>
  <w:abstractNum w:abstractNumId="96">
    <w:nsid w:val="697D2D2"/>
    <w:multiLevelType w:val="hybridMultilevel"/>
    <w:lvl w:ilvl="0">
      <w:lvlJc w:val="left"/>
      <w:lvlText w:val="(%1)"/>
      <w:numFmt w:val="lowerLetter"/>
      <w:start w:val="1"/>
    </w:lvl>
  </w:abstractNum>
  <w:abstractNum w:abstractNumId="97">
    <w:nsid w:val="6D68AB2"/>
    <w:multiLevelType w:val="hybridMultilevel"/>
    <w:lvl w:ilvl="0">
      <w:lvlJc w:val="left"/>
      <w:lvlText w:val="(%1)"/>
      <w:numFmt w:val="lowerLetter"/>
      <w:start w:val="1"/>
    </w:lvl>
  </w:abstractNum>
  <w:abstractNum w:abstractNumId="98">
    <w:nsid w:val="3A966CD0"/>
    <w:multiLevelType w:val="hybridMultilevel"/>
    <w:lvl w:ilvl="0">
      <w:lvlJc w:val="left"/>
      <w:lvlText w:val="(%1)"/>
      <w:numFmt w:val="lowerLetter"/>
      <w:start w:val="1"/>
    </w:lvl>
  </w:abstractNum>
  <w:abstractNum w:abstractNumId="99">
    <w:nsid w:val="63F37E85"/>
    <w:multiLevelType w:val="hybridMultilevel"/>
    <w:lvl w:ilvl="0">
      <w:lvlJc w:val="left"/>
      <w:lvlText w:val="(%1)"/>
      <w:numFmt w:val="lowerLetter"/>
      <w:start w:val="1"/>
    </w:lvl>
  </w:abstractNum>
  <w:abstractNum w:abstractNumId="100">
    <w:nsid w:val="5895F5FA"/>
    <w:multiLevelType w:val="hybridMultilevel"/>
    <w:lvl w:ilvl="0">
      <w:lvlJc w:val="left"/>
      <w:lvlText w:val="(%1)"/>
      <w:numFmt w:val="lowerLetter"/>
      <w:start w:val="1"/>
    </w:lvl>
  </w:abstractNum>
  <w:abstractNum w:abstractNumId="101">
    <w:nsid w:val="38A5D054"/>
    <w:multiLevelType w:val="hybridMultilevel"/>
    <w:lvl w:ilvl="0">
      <w:lvlJc w:val="left"/>
      <w:lvlText w:val="(%1)"/>
      <w:numFmt w:val="lowerLetter"/>
      <w:start w:val="2"/>
    </w:lvl>
  </w:abstractNum>
  <w:abstractNum w:abstractNumId="102">
    <w:nsid w:val="F3F09D8"/>
    <w:multiLevelType w:val="hybridMultilevel"/>
    <w:lvl w:ilvl="0">
      <w:lvlJc w:val="left"/>
      <w:lvlText w:val="(%1)"/>
      <w:numFmt w:val="decimal"/>
      <w:start w:val="58"/>
    </w:lvl>
  </w:abstractNum>
  <w:abstractNum w:abstractNumId="103">
    <w:nsid w:val="4B793735"/>
    <w:multiLevelType w:val="hybridMultilevel"/>
    <w:lvl w:ilvl="0">
      <w:lvlJc w:val="left"/>
      <w:lvlText w:val="(%1)"/>
      <w:numFmt w:val="decimal"/>
      <w:start w:val="102"/>
    </w:lvl>
  </w:abstractNum>
  <w:abstractNum w:abstractNumId="104">
    <w:nsid w:val="4A10B4E8"/>
    <w:multiLevelType w:val="hybridMultilevel"/>
    <w:lvl w:ilvl="0">
      <w:lvlJc w:val="left"/>
      <w:lvlText w:val="%1."/>
      <w:numFmt w:val="decimal"/>
      <w:start w:val="1"/>
    </w:lvl>
  </w:abstractNum>
  <w:abstractNum w:abstractNumId="105">
    <w:nsid w:val="43D3BCD4"/>
    <w:multiLevelType w:val="hybridMultilevel"/>
    <w:lvl w:ilvl="0">
      <w:lvlJc w:val="left"/>
      <w:lvlText w:val="%1."/>
      <w:numFmt w:val="decimal"/>
      <w:start w:val="2"/>
    </w:lvl>
  </w:abstractNum>
  <w:abstractNum w:abstractNumId="106">
    <w:nsid w:val="4C2A7166"/>
    <w:multiLevelType w:val="hybridMultilevel"/>
    <w:lvl w:ilvl="0">
      <w:lvlJc w:val="left"/>
      <w:lvlText w:val="%1."/>
      <w:numFmt w:val="decimal"/>
      <w:start w:val="3"/>
    </w:lvl>
  </w:abstractNum>
  <w:abstractNum w:abstractNumId="107">
    <w:nsid w:val="2E534A82"/>
    <w:multiLevelType w:val="hybridMultilevel"/>
    <w:lvl w:ilvl="0">
      <w:lvlJc w:val="left"/>
      <w:lvlText w:val="%1."/>
      <w:numFmt w:val="decimal"/>
      <w:start w:val="4"/>
    </w:lvl>
  </w:abstractNum>
  <w:abstractNum w:abstractNumId="108">
    <w:nsid w:val="26F2D364"/>
    <w:multiLevelType w:val="hybridMultilevel"/>
    <w:lvl w:ilvl="0">
      <w:lvlJc w:val="left"/>
      <w:lvlText w:val="%1."/>
      <w:numFmt w:val="decimal"/>
      <w:start w:val="5"/>
    </w:lvl>
  </w:abstractNum>
  <w:abstractNum w:abstractNumId="109">
    <w:nsid w:val="71C1AF98"/>
    <w:multiLevelType w:val="hybridMultilevel"/>
    <w:lvl w:ilvl="0">
      <w:lvlJc w:val="left"/>
      <w:lvlText w:val="$"/>
      <w:numFmt w:val="bullet"/>
      <w:start w:val="1"/>
    </w:lvl>
  </w:abstractNum>
  <w:abstractNum w:abstractNumId="110">
    <w:nsid w:val="3D00B9D9"/>
    <w:multiLevelType w:val="hybridMultilevel"/>
    <w:lvl w:ilvl="0">
      <w:lvlJc w:val="left"/>
      <w:lvlText w:val="$"/>
      <w:numFmt w:val="bullet"/>
      <w:start w:val="1"/>
    </w:lvl>
  </w:abstractNum>
  <w:abstractNum w:abstractNumId="111">
    <w:nsid w:val="15BCABA8"/>
    <w:multiLevelType w:val="hybridMultilevel"/>
    <w:lvl w:ilvl="0">
      <w:lvlJc w:val="left"/>
      <w:lvlText w:val="$"/>
      <w:numFmt w:val="bullet"/>
      <w:start w:val="1"/>
    </w:lvl>
  </w:abstractNum>
  <w:abstractNum w:abstractNumId="112">
    <w:nsid w:val="4E0B9A87"/>
    <w:multiLevelType w:val="hybridMultilevel"/>
    <w:lvl w:ilvl="0">
      <w:lvlJc w:val="left"/>
      <w:lvlText w:val="$"/>
      <w:numFmt w:val="bullet"/>
      <w:start w:val="1"/>
    </w:lvl>
  </w:abstractNum>
  <w:abstractNum w:abstractNumId="113">
    <w:nsid w:val="434BAE75"/>
    <w:multiLevelType w:val="hybridMultilevel"/>
    <w:lvl w:ilvl="0">
      <w:lvlJc w:val="left"/>
      <w:lvlText w:val="%1."/>
      <w:numFmt w:val="decimal"/>
      <w:start w:val="7"/>
    </w:lvl>
  </w:abstractNum>
  <w:abstractNum w:abstractNumId="114">
    <w:nsid w:val="4F38F265"/>
    <w:multiLevelType w:val="hybridMultilevel"/>
    <w:lvl w:ilvl="0">
      <w:lvlJc w:val="left"/>
      <w:lvlText w:val="%1."/>
      <w:numFmt w:val="decimal"/>
      <w:start w:val="8"/>
    </w:lvl>
  </w:abstractNum>
  <w:abstractNum w:abstractNumId="115">
    <w:nsid w:val="4C502870"/>
    <w:multiLevelType w:val="hybridMultilevel"/>
    <w:lvl w:ilvl="0">
      <w:lvlJc w:val="left"/>
      <w:lvlText w:val="%1."/>
      <w:numFmt w:val="decimal"/>
      <w:start w:val="9"/>
    </w:lvl>
  </w:abstractNum>
  <w:abstractNum w:abstractNumId="116">
    <w:nsid w:val="1DE8725A"/>
    <w:multiLevelType w:val="hybridMultilevel"/>
    <w:lvl w:ilvl="0">
      <w:lvlJc w:val="left"/>
      <w:lvlText w:val="%1."/>
      <w:numFmt w:val="decimal"/>
      <w:start w:val="10"/>
    </w:lvl>
  </w:abstractNum>
  <w:abstractNum w:abstractNumId="117">
    <w:nsid w:val="6A37288A"/>
    <w:multiLevelType w:val="hybridMultilevel"/>
    <w:lvl w:ilvl="0">
      <w:lvlJc w:val="left"/>
      <w:lvlText w:val="%1."/>
      <w:numFmt w:val="decimal"/>
      <w:start w:val="11"/>
    </w:lvl>
  </w:abstractNum>
  <w:abstractNum w:abstractNumId="118">
    <w:nsid w:val="8F8B73F"/>
    <w:multiLevelType w:val="hybridMultilevel"/>
    <w:lvl w:ilvl="0">
      <w:lvlJc w:val="left"/>
      <w:lvlText w:val="%1."/>
      <w:numFmt w:val="decimal"/>
      <w:start w:val="12"/>
    </w:lvl>
  </w:abstractNum>
  <w:abstractNum w:abstractNumId="119">
    <w:nsid w:val="CA6B462"/>
    <w:multiLevelType w:val="hybridMultilevel"/>
    <w:lvl w:ilvl="0">
      <w:lvlJc w:val="left"/>
      <w:lvlText w:val="%1."/>
      <w:numFmt w:val="decimal"/>
      <w:start w:val="13"/>
    </w:lvl>
  </w:abstractNum>
  <w:abstractNum w:abstractNumId="120">
    <w:nsid w:val="763CB680"/>
    <w:multiLevelType w:val="hybridMultilevel"/>
    <w:lvl w:ilvl="0">
      <w:lvlJc w:val="left"/>
      <w:lvlText w:val="%1."/>
      <w:numFmt w:val="decimal"/>
      <w:start w:val="14"/>
    </w:lvl>
  </w:abstractNum>
  <w:abstractNum w:abstractNumId="121">
    <w:nsid w:val="15B71329"/>
    <w:multiLevelType w:val="hybridMultilevel"/>
    <w:lvl w:ilvl="0">
      <w:lvlJc w:val="left"/>
      <w:lvlText w:val="%1."/>
      <w:numFmt w:val="decimal"/>
      <w:start w:val="15"/>
    </w:lvl>
  </w:abstractNum>
  <w:abstractNum w:abstractNumId="122">
    <w:nsid w:val="3DA97044"/>
    <w:multiLevelType w:val="hybridMultilevel"/>
    <w:lvl w:ilvl="0">
      <w:lvlJc w:val="left"/>
      <w:lvlText w:val="%1."/>
      <w:numFmt w:val="decimal"/>
      <w:start w:val="16"/>
    </w:lvl>
  </w:abstractNum>
  <w:abstractNum w:abstractNumId="123">
    <w:nsid w:val="1CDCE2DE"/>
    <w:multiLevelType w:val="hybridMultilevel"/>
    <w:lvl w:ilvl="0">
      <w:lvlJc w:val="left"/>
      <w:lvlText w:val="(%1)"/>
      <w:numFmt w:val="decimal"/>
      <w:start w:val="1"/>
    </w:lvl>
  </w:abstractNum>
  <w:abstractNum w:abstractNumId="124">
    <w:nsid w:val="69D3947C"/>
    <w:multiLevelType w:val="hybridMultilevel"/>
    <w:lvl w:ilvl="0">
      <w:lvlJc w:val="left"/>
      <w:lvlText w:val="(%1)"/>
      <w:numFmt w:val="decimal"/>
      <w:start w:val="2"/>
    </w:lvl>
  </w:abstractNum>
  <w:abstractNum w:abstractNumId="125">
    <w:nsid w:val="2539DFA5"/>
    <w:multiLevelType w:val="hybridMultilevel"/>
    <w:lvl w:ilvl="0">
      <w:lvlJc w:val="left"/>
      <w:lvlText w:val="+"/>
      <w:numFmt w:val="bullet"/>
      <w:start w:val="1"/>
    </w:lvl>
  </w:abstractNum>
  <w:abstractNum w:abstractNumId="126">
    <w:nsid w:val="2DB88089"/>
    <w:multiLevelType w:val="hybridMultilevel"/>
    <w:lvl w:ilvl="0">
      <w:lvlJc w:val="left"/>
      <w:lvlText w:val="(%1)"/>
      <w:numFmt w:val="decimal"/>
      <w:start w:val="1"/>
    </w:lvl>
  </w:abstractNum>
  <w:abstractNum w:abstractNumId="127">
    <w:nsid w:val="706B674E"/>
    <w:multiLevelType w:val="hybridMultilevel"/>
    <w:lvl w:ilvl="0">
      <w:lvlJc w:val="left"/>
      <w:lvlText w:val="["/>
      <w:numFmt w:val="bullet"/>
      <w:start w:val="1"/>
    </w:lvl>
  </w:abstractNum>
  <w:abstractNum w:abstractNumId="128">
    <w:nsid w:val="2C106A57"/>
    <w:multiLevelType w:val="hybridMultilevel"/>
    <w:lvl w:ilvl="0">
      <w:lvlJc w:val="left"/>
      <w:lvlText w:val="%1."/>
      <w:numFmt w:val="decimal"/>
      <w:start w:val="1"/>
    </w:lvl>
  </w:abstractNum>
  <w:abstractNum w:abstractNumId="129">
    <w:nsid w:val="684EED59"/>
    <w:multiLevelType w:val="hybridMultilevel"/>
    <w:lvl w:ilvl="0">
      <w:lvlJc w:val="left"/>
      <w:lvlText w:val="(%1)"/>
      <w:numFmt w:val="lowerLetter"/>
      <w:start w:val="1"/>
    </w:lvl>
  </w:abstractNum>
  <w:abstractNum w:abstractNumId="130">
    <w:nsid w:val="545EE5D3"/>
    <w:multiLevelType w:val="hybridMultilevel"/>
    <w:lvl w:ilvl="0">
      <w:lvlJc w:val="left"/>
      <w:lvlText w:val="(%1)"/>
      <w:numFmt w:val="lowerLetter"/>
      <w:start w:val="3"/>
    </w:lvl>
  </w:abstractNum>
  <w:abstractNum w:abstractNumId="131">
    <w:nsid w:val="4A66051"/>
    <w:multiLevelType w:val="hybridMultilevel"/>
    <w:lvl w:ilvl="0">
      <w:lvlJc w:val="left"/>
      <w:lvlText w:val="(%1)"/>
      <w:numFmt w:val="lowerLetter"/>
      <w:start w:val="6"/>
    </w:lvl>
  </w:abstractNum>
  <w:abstractNum w:abstractNumId="132">
    <w:nsid w:val="20F4BDAD"/>
    <w:multiLevelType w:val="hybridMultilevel"/>
    <w:lvl w:ilvl="0">
      <w:lvlJc w:val="left"/>
      <w:lvlText w:val="(%1)"/>
      <w:numFmt w:val="lowerLetter"/>
      <w:start w:val="12"/>
    </w:lvl>
  </w:abstractNum>
  <w:abstractNum w:abstractNumId="133">
    <w:nsid w:val="639DEFAC"/>
    <w:multiLevelType w:val="hybridMultilevel"/>
    <w:lvl w:ilvl="0">
      <w:lvlJc w:val="left"/>
      <w:lvlText w:val="(%1)"/>
      <w:numFmt w:val="lowerLetter"/>
      <w:start w:val="17"/>
    </w:lvl>
  </w:abstractNum>
  <w:abstractNum w:abstractNumId="134">
    <w:nsid w:val="501F9786"/>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abstractNum>
  <w:abstractNum w:abstractNumId="135">
    <w:nsid w:val="6B057295"/>
    <w:multiLevelType w:val="hybridMultilevel"/>
    <w:lvl w:ilvl="0">
      <w:lvlJc w:val="left"/>
      <w:lvlText w:val="(%1)"/>
      <w:numFmt w:val="lowerLetter"/>
      <w:start w:val="22"/>
    </w:lvl>
  </w:abstractNum>
  <w:abstractNum w:abstractNumId="136">
    <w:nsid w:val="2771AC80"/>
    <w:multiLevelType w:val="hybridMultilevel"/>
    <w:lvl w:ilvl="0">
      <w:lvlJc w:val="left"/>
      <w:lvlText w:val="(%1)"/>
      <w:numFmt w:val="lowerLetter"/>
      <w:start w:val="24"/>
    </w:lvl>
  </w:abstractNum>
  <w:abstractNum w:abstractNumId="137">
    <w:nsid w:val="1C4A08EC"/>
    <w:multiLevelType w:val="hybridMultilevel"/>
    <w:lvl w:ilvl="0">
      <w:lvlJc w:val="left"/>
      <w:lvlText w:val="(%1)"/>
      <w:numFmt w:val="lowerLetter"/>
      <w:start w:val="27"/>
    </w:lvl>
  </w:abstractNum>
  <w:abstractNum w:abstractNumId="138">
    <w:nsid w:val="1958BD17"/>
    <w:multiLevelType w:val="hybridMultilevel"/>
    <w:lvl w:ilvl="0">
      <w:lvlJc w:val="left"/>
      <w:lvlText w:val="(%1)"/>
      <w:numFmt w:val="lowerLetter"/>
      <w:start w:val="29"/>
    </w:lvl>
  </w:abstractNum>
  <w:abstractNum w:abstractNumId="139">
    <w:nsid w:val="4E647FE4"/>
    <w:multiLevelType w:val="hybridMultilevel"/>
    <w:lvl w:ilvl="0">
      <w:lvlJc w:val="left"/>
      <w:lvlText w:val="(%1)"/>
      <w:numFmt w:val="lowerLetter"/>
      <w:start w:val="32"/>
    </w:lvl>
  </w:abstractNum>
  <w:abstractNum w:abstractNumId="140">
    <w:nsid w:val="E0BB885"/>
    <w:multiLevelType w:val="hybridMultilevel"/>
    <w:lvl w:ilvl="0">
      <w:lvlJc w:val="left"/>
      <w:lvlText w:val="%1"/>
      <w:numFmt w:val="decimal"/>
      <w:start w:val="1"/>
    </w:lvl>
    <w:lvl w:ilvl="1">
      <w:lvlJc w:val="left"/>
      <w:lvlText w:val="(%2)"/>
      <w:numFmt w:val="lowerLetter"/>
      <w:start w:val="36"/>
    </w:lvl>
  </w:abstractNum>
  <w:abstractNum w:abstractNumId="141">
    <w:nsid w:val="565976F1"/>
    <w:multiLevelType w:val="hybridMultilevel"/>
    <w:lvl w:ilvl="0">
      <w:lvlJc w:val="left"/>
      <w:lvlText w:val="%1."/>
      <w:numFmt w:val="decimal"/>
      <w:start w:val="2"/>
    </w:lvl>
    <w:lvl w:ilvl="1">
      <w:lvlJc w:val="left"/>
      <w:lvlText w:val="%2"/>
      <w:numFmt w:val="lowerLetter"/>
      <w:start w:val="1"/>
    </w:lvl>
  </w:abstractNum>
  <w:abstractNum w:abstractNumId="142">
    <w:nsid w:val="64212B8C"/>
    <w:multiLevelType w:val="hybridMultilevel"/>
    <w:lvl w:ilvl="0">
      <w:lvlJc w:val="left"/>
      <w:lvlText w:val="%1."/>
      <w:numFmt w:val="decimal"/>
      <w:start w:val="3"/>
    </w:lvl>
  </w:abstractNum>
  <w:abstractNum w:abstractNumId="143">
    <w:nsid w:val="5C17530C"/>
    <w:multiLevelType w:val="hybridMultilevel"/>
    <w:lvl w:ilvl="0">
      <w:lvlJc w:val="left"/>
      <w:lvlText w:val="1"/>
      <w:numFmt w:val="bullet"/>
      <w:start w:val="1"/>
    </w:lvl>
  </w:abstractNum>
  <w:abstractNum w:abstractNumId="144">
    <w:nsid w:val="19A52566"/>
    <w:multiLevelType w:val="hybridMultilevel"/>
    <w:lvl w:ilvl="0">
      <w:lvlJc w:val="left"/>
      <w:lvlText w:val="2"/>
      <w:numFmt w:val="bullet"/>
      <w:start w:val="1"/>
    </w:lvl>
  </w:abstractNum>
  <w:abstractNum w:abstractNumId="145">
    <w:nsid w:val="335A1DF1"/>
    <w:multiLevelType w:val="hybridMultilevel"/>
    <w:lvl w:ilvl="0">
      <w:lvlJc w:val="left"/>
      <w:lvlText w:val="3"/>
      <w:numFmt w:val="bullet"/>
      <w:start w:val="1"/>
    </w:lvl>
  </w:abstractNum>
  <w:abstractNum w:abstractNumId="146">
    <w:nsid w:val="28677B7C"/>
    <w:multiLevelType w:val="hybridMultilevel"/>
    <w:lvl w:ilvl="0">
      <w:lvlJc w:val="left"/>
      <w:lvlText w:val="%1."/>
      <w:numFmt w:val="decimal"/>
      <w:start w:val="5"/>
    </w:lvl>
  </w:abstractNum>
  <w:abstractNum w:abstractNumId="147">
    <w:nsid w:val="378D97C0"/>
    <w:multiLevelType w:val="hybridMultilevel"/>
    <w:lvl w:ilvl="0">
      <w:lvlJc w:val="left"/>
      <w:lvlText w:val="(%1)"/>
      <w:numFmt w:val="lowerLetter"/>
      <w:start w:val="1"/>
    </w:lvl>
    <w:lvl w:ilvl="1">
      <w:lvlJc w:val="left"/>
      <w:lvlText w:val="(%2)"/>
      <w:numFmt w:val="lowerRoman"/>
      <w:start w:val="1"/>
    </w:lvl>
  </w:abstractNum>
  <w:abstractNum w:abstractNumId="148">
    <w:nsid w:val="1D91467C"/>
    <w:multiLevelType w:val="hybridMultilevel"/>
    <w:lvl w:ilvl="0">
      <w:lvlJc w:val="left"/>
      <w:lvlText w:val="(%1)"/>
      <w:numFmt w:val="lowerLetter"/>
      <w:start w:val="3"/>
    </w:lvl>
  </w:abstractNum>
  <w:abstractNum w:abstractNumId="149">
    <w:nsid w:val="316032BB"/>
    <w:multiLevelType w:val="hybridMultilevel"/>
    <w:lvl w:ilvl="0">
      <w:lvlJc w:val="left"/>
      <w:lvlText w:val="(%1)"/>
      <w:numFmt w:val="lowerLetter"/>
      <w:start w:val="5"/>
    </w:lvl>
    <w:lvl w:ilvl="1">
      <w:lvlJc w:val="left"/>
      <w:lvlText w:val="(%2)"/>
      <w:numFmt w:val="lowerRoman"/>
      <w:start w:val="1"/>
    </w:lvl>
  </w:abstractNum>
  <w:abstractNum w:abstractNumId="150">
    <w:nsid w:val="44344C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51">
    <w:nsid w:val="13CDFCF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2">
    <w:nsid w:val="471745E4"/>
    <w:multiLevelType w:val="hybridMultilevel"/>
    <w:lvl w:ilvl="0">
      <w:lvlJc w:val="left"/>
      <w:lvlText w:val="(%1)"/>
      <w:numFmt w:val="lowerLetter"/>
      <w:start w:val="4"/>
    </w:lvl>
  </w:abstractNum>
  <w:abstractNum w:abstractNumId="153">
    <w:nsid w:val="1DDBC66"/>
    <w:multiLevelType w:val="hybridMultilevel"/>
    <w:lvl w:ilvl="0">
      <w:lvlJc w:val="left"/>
      <w:lvlText w:val="%1"/>
      <w:numFmt w:val="lowerRoman"/>
      <w:start w:val="1"/>
    </w:lvl>
    <w:lvl w:ilvl="1">
      <w:lvlJc w:val="left"/>
      <w:lvlText w:val="(%2)"/>
      <w:numFmt w:val="lowerLetter"/>
      <w:start w:val="8"/>
    </w:lvl>
  </w:abstractNum>
  <w:abstractNum w:abstractNumId="154">
    <w:nsid w:val="30AADFDA"/>
    <w:multiLevelType w:val="hybridMultilevel"/>
    <w:lvl w:ilvl="0">
      <w:lvlJc w:val="left"/>
      <w:lvlText w:val="(%1)"/>
      <w:numFmt w:val="lowerRoman"/>
      <w:start w:val="4"/>
    </w:lvl>
    <w:lvl w:ilvl="1">
      <w:lvlJc w:val="left"/>
      <w:lvlText w:val="%2"/>
      <w:numFmt w:val="lowerLetter"/>
      <w:start w:val="1"/>
    </w:lvl>
  </w:abstractNum>
  <w:abstractNum w:abstractNumId="155">
    <w:nsid w:val="30EADA61"/>
    <w:multiLevelType w:val="hybridMultilevel"/>
    <w:lvl w:ilvl="0">
      <w:lvlJc w:val="left"/>
      <w:lvlText w:val="(%1)"/>
      <w:numFmt w:val="lowerLetter"/>
      <w:start w:val="10"/>
    </w:lvl>
  </w:abstractNum>
  <w:abstractNum w:abstractNumId="156">
    <w:nsid w:val="27179C0B"/>
    <w:multiLevelType w:val="hybridMultilevel"/>
    <w:lvl w:ilvl="0">
      <w:lvlJc w:val="left"/>
      <w:lvlText w:val="(%1)"/>
      <w:numFmt w:val="decimal"/>
      <w:start w:val="3"/>
    </w:lvl>
  </w:abstractNum>
  <w:abstractNum w:abstractNumId="157">
    <w:nsid w:val="5E636063"/>
    <w:multiLevelType w:val="hybridMultilevel"/>
    <w:lvl w:ilvl="0">
      <w:lvlJc w:val="left"/>
      <w:lvlText w:val="(%1)"/>
      <w:numFmt w:val="upperLetter"/>
      <w:start w:val="4"/>
    </w:lvl>
  </w:abstractNum>
  <w:abstractNum w:abstractNumId="158">
    <w:nsid w:val="215641AF"/>
    <w:multiLevelType w:val="hybridMultilevel"/>
    <w:lvl w:ilvl="0">
      <w:lvlJc w:val="left"/>
      <w:lvlText w:val="%1."/>
      <w:numFmt w:val="decimal"/>
      <w:start w:val="7"/>
    </w:lvl>
    <w:lvl w:ilvl="1">
      <w:lvlJc w:val="left"/>
      <w:lvlText w:val="(%2)"/>
      <w:numFmt w:val="lowerLetter"/>
      <w:start w:val="2"/>
    </w:lvl>
  </w:abstractNum>
  <w:abstractNum w:abstractNumId="159">
    <w:nsid w:val="53280662"/>
    <w:multiLevelType w:val="hybridMultilevel"/>
    <w:lvl w:ilvl="0">
      <w:lvlJc w:val="left"/>
      <w:lvlText w:val="(%1)"/>
      <w:numFmt w:val="lowerLetter"/>
      <w:start w:val="3"/>
    </w:lvl>
  </w:abstractNum>
  <w:abstractNum w:abstractNumId="160">
    <w:nsid w:val="46B24DBC"/>
    <w:multiLevelType w:val="hybridMultilevel"/>
    <w:lvl w:ilvl="0">
      <w:lvlJc w:val="left"/>
      <w:lvlText w:val="(%1)"/>
      <w:numFmt w:val="lowerLetter"/>
      <w:start w:val="4"/>
    </w:lvl>
  </w:abstractNum>
  <w:abstractNum w:abstractNumId="161">
    <w:nsid w:val="75B52783"/>
    <w:multiLevelType w:val="hybridMultilevel"/>
    <w:lvl w:ilvl="0">
      <w:lvlJc w:val="left"/>
      <w:lvlText w:val="%1"/>
      <w:numFmt w:val="decimal"/>
      <w:start w:val="1"/>
    </w:lvl>
    <w:lvl w:ilvl="1">
      <w:lvlJc w:val="left"/>
      <w:lvlText w:val="(%2)"/>
      <w:numFmt w:val="lowerLetter"/>
      <w:start w:val="6"/>
    </w:lvl>
  </w:abstractNum>
  <w:abstractNum w:abstractNumId="162">
    <w:nsid w:val="57CE66B4"/>
    <w:multiLevelType w:val="hybridMultilevel"/>
    <w:lvl w:ilvl="0">
      <w:lvlJc w:val="left"/>
      <w:lvlText w:val="%1."/>
      <w:numFmt w:val="decimal"/>
      <w:start w:val="9"/>
    </w:lvl>
    <w:lvl w:ilvl="1">
      <w:lvlJc w:val="left"/>
      <w:lvlText w:val="%2"/>
      <w:numFmt w:val="lowerLetter"/>
      <w:start w:val="1"/>
    </w:lvl>
  </w:abstractNum>
  <w:abstractNum w:abstractNumId="163">
    <w:nsid w:val="67A70B69"/>
    <w:multiLevelType w:val="hybridMultilevel"/>
    <w:lvl w:ilvl="0">
      <w:lvlJc w:val="left"/>
      <w:lvlText w:val="%1."/>
      <w:numFmt w:val="decimal"/>
      <w:start w:val="11"/>
    </w:lvl>
    <w:lvl w:ilvl="1">
      <w:lvlJc w:val="left"/>
      <w:lvlText w:val="(%2)"/>
      <w:numFmt w:val="lowerLetter"/>
      <w:start w:val="2"/>
    </w:lvl>
  </w:abstractNum>
  <w:abstractNum w:abstractNumId="164">
    <w:nsid w:val="5953172F"/>
    <w:multiLevelType w:val="hybridMultilevel"/>
    <w:lvl w:ilvl="0">
      <w:lvlJc w:val="left"/>
      <w:lvlText w:val="%1."/>
      <w:numFmt w:val="decimal"/>
      <w:start w:val="12"/>
    </w:lvl>
    <w:lvl w:ilvl="1">
      <w:lvlJc w:val="left"/>
      <w:lvlText w:val="(%2)"/>
      <w:numFmt w:val="lowerLetter"/>
      <w:start w:val="2"/>
    </w:lvl>
  </w:abstractNum>
  <w:abstractNum w:abstractNumId="165">
    <w:nsid w:val="27EDFE3A"/>
    <w:multiLevelType w:val="hybridMultilevel"/>
    <w:lvl w:ilvl="0">
      <w:lvlJc w:val="left"/>
      <w:lvlText w:val="%1."/>
      <w:numFmt w:val="decimal"/>
      <w:start w:val="13"/>
    </w:lvl>
  </w:abstractNum>
  <w:abstractNum w:abstractNumId="166">
    <w:nsid w:val="52AC7DFF"/>
    <w:multiLevelType w:val="hybridMultilevel"/>
    <w:lvl w:ilvl="0">
      <w:lvlJc w:val="left"/>
      <w:lvlText w:val="%1."/>
      <w:numFmt w:val="decimal"/>
      <w:start w:val="1"/>
    </w:lvl>
  </w:abstractNum>
  <w:abstractNum w:abstractNumId="167">
    <w:nsid w:val="C4C3AF"/>
    <w:multiLevelType w:val="hybridMultilevel"/>
    <w:lvl w:ilvl="0">
      <w:lvlJc w:val="left"/>
      <w:lvlText w:val="%1."/>
      <w:numFmt w:val="decimal"/>
      <w:start w:val="1"/>
    </w:lvl>
  </w:abstractNum>
  <w:abstractNum w:abstractNumId="168">
    <w:nsid w:val="44380727"/>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69">
    <w:nsid w:val="6C053B16"/>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170">
    <w:nsid w:val="4F294393"/>
    <w:multiLevelType w:val="hybridMultilevel"/>
    <w:lvl w:ilvl="0">
      <w:lvlJc w:val="left"/>
      <w:lvlText w:val="(%1)"/>
      <w:numFmt w:val="lowerLetter"/>
      <w:start w:val="3"/>
    </w:lvl>
  </w:abstractNum>
  <w:abstractNum w:abstractNumId="171">
    <w:nsid w:val="5243BFAC"/>
    <w:multiLevelType w:val="hybridMultilevel"/>
    <w:lvl w:ilvl="0">
      <w:lvlJc w:val="left"/>
      <w:lvlText w:val="(%1)"/>
      <w:numFmt w:val="lowerLetter"/>
      <w:start w:val="6"/>
    </w:lvl>
  </w:abstractNum>
  <w:abstractNum w:abstractNumId="172">
    <w:nsid w:val="425EB207"/>
    <w:multiLevelType w:val="hybridMultilevel"/>
    <w:lvl w:ilvl="0">
      <w:lvlJc w:val="left"/>
      <w:lvlText w:val="%1."/>
      <w:numFmt w:val="decimal"/>
      <w:start w:val="5"/>
    </w:lvl>
  </w:abstractNum>
  <w:abstractNum w:abstractNumId="173">
    <w:nsid w:val="334A6F1F"/>
    <w:multiLevelType w:val="hybridMultilevel"/>
    <w:lvl w:ilvl="0">
      <w:lvlJc w:val="left"/>
      <w:lvlText w:val="%1."/>
      <w:numFmt w:val="decimal"/>
      <w:start w:val="10"/>
    </w:lvl>
  </w:abstractNum>
  <w:abstractNum w:abstractNumId="174">
    <w:nsid w:val="2E5B12B8"/>
    <w:multiLevelType w:val="hybridMultilevel"/>
    <w:lvl w:ilvl="0">
      <w:lvlJc w:val="left"/>
      <w:lvlText w:val="%1."/>
      <w:numFmt w:val="decimal"/>
      <w:start w:val="1"/>
    </w:lvl>
    <w:lvl w:ilvl="1">
      <w:lvlJc w:val="left"/>
      <w:lvlText w:val="(%2)"/>
      <w:numFmt w:val="lowerLetter"/>
      <w:start w:val="1"/>
    </w:lvl>
  </w:abstractNum>
  <w:abstractNum w:abstractNumId="175">
    <w:nsid w:val="5C03D76D"/>
    <w:multiLevelType w:val="hybridMultilevel"/>
    <w:lvl w:ilvl="0">
      <w:lvlJc w:val="left"/>
      <w:lvlText w:val="(%1)"/>
      <w:numFmt w:val="lowerLetter"/>
      <w:start w:val="1"/>
    </w:lvl>
    <w:lvl w:ilvl="1">
      <w:lvlJc w:val="left"/>
      <w:lvlText w:val="(%2)"/>
      <w:numFmt w:val="lowerLetter"/>
      <w:start w:val="2"/>
    </w:lvl>
  </w:abstractNum>
  <w:abstractNum w:abstractNumId="176">
    <w:nsid w:val="66A48D11"/>
    <w:multiLevelType w:val="hybridMultilevel"/>
    <w:lvl w:ilvl="0">
      <w:lvlJc w:val="left"/>
      <w:lvlText w:val="%1"/>
      <w:numFmt w:val="decimal"/>
      <w:start w:val="1"/>
    </w:lvl>
    <w:lvl w:ilvl="1">
      <w:lvlJc w:val="left"/>
      <w:lvlText w:val="(%2)"/>
      <w:numFmt w:val="lowerLetter"/>
      <w:start w:val="3"/>
    </w:lvl>
  </w:abstractNum>
  <w:abstractNum w:abstractNumId="177">
    <w:nsid w:val="56C28E34"/>
    <w:multiLevelType w:val="hybridMultilevel"/>
    <w:lvl w:ilvl="0">
      <w:lvlJc w:val="left"/>
      <w:lvlText w:val="%1."/>
      <w:numFmt w:val="decimal"/>
      <w:start w:val="4"/>
    </w:lvl>
    <w:lvl w:ilvl="1">
      <w:lvlJc w:val="left"/>
      <w:lvlText w:val="%2"/>
      <w:numFmt w:val="lowerLetter"/>
      <w:start w:val="1"/>
    </w:lvl>
  </w:abstractNum>
  <w:abstractNum w:abstractNumId="178">
    <w:nsid w:val="13916F2D"/>
    <w:multiLevelType w:val="hybridMultilevel"/>
    <w:lvl w:ilvl="0">
      <w:lvlJc w:val="left"/>
      <w:lvlText w:val="%1."/>
      <w:numFmt w:val="upperLetter"/>
      <w:start w:val="1"/>
    </w:lvl>
  </w:abstractNum>
  <w:abstractNum w:abstractNumId="179">
    <w:nsid w:val="435D38D"/>
    <w:multiLevelType w:val="hybridMultilevel"/>
    <w:lvl w:ilvl="0">
      <w:lvlJc w:val="left"/>
      <w:lvlText w:val="%1."/>
      <w:numFmt w:val="upperLetter"/>
      <w:start w:val="2"/>
    </w:lvl>
  </w:abstractNum>
  <w:abstractNum w:abstractNumId="180">
    <w:nsid w:val="822C0E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81">
    <w:nsid w:val="57C5BB4F"/>
    <w:multiLevelType w:val="hybridMultilevel"/>
    <w:lvl w:ilvl="0">
      <w:lvlJc w:val="left"/>
      <w:lvlText w:val="(%1)"/>
      <w:numFmt w:val="lowerLetter"/>
      <w:start w:val="6"/>
    </w:lvl>
  </w:abstractNum>
  <w:abstractNum w:abstractNumId="182">
    <w:nsid w:val="1803D0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3">
    <w:nsid w:val="4F3A06D4"/>
    <w:multiLevelType w:val="hybridMultilevel"/>
    <w:lvl w:ilvl="0">
      <w:lvlJc w:val="left"/>
      <w:lvlText w:val="%1"/>
      <w:numFmt w:val="decimal"/>
      <w:start w:val="1"/>
    </w:lvl>
    <w:lvl w:ilvl="1">
      <w:lvlJc w:val="left"/>
      <w:lvlText w:val="(%2)"/>
      <w:numFmt w:val="lowerLetter"/>
      <w:start w:val="16"/>
    </w:lvl>
    <w:lvl w:ilvl="2">
      <w:lvlJc w:val="left"/>
      <w:lvlText w:val="%3"/>
      <w:numFmt w:val="lowerRoman"/>
      <w:start w:val="1"/>
    </w:lvl>
  </w:abstractNum>
  <w:abstractNum w:abstractNumId="184">
    <w:nsid w:val="59A377B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5">
    <w:nsid w:val="48AEB063"/>
    <w:multiLevelType w:val="hybridMultilevel"/>
    <w:lvl w:ilvl="0">
      <w:lvlJc w:val="left"/>
      <w:lvlText w:val="%1"/>
      <w:numFmt w:val="decimal"/>
      <w:start w:val="1"/>
    </w:lvl>
    <w:lvl w:ilvl="1">
      <w:lvlJc w:val="left"/>
      <w:lvlText w:val="(%2)"/>
      <w:numFmt w:val="lowerLetter"/>
      <w:start w:val="2"/>
    </w:lvl>
  </w:abstractNum>
  <w:abstractNum w:abstractNumId="186">
    <w:nsid w:val="24E135"/>
    <w:multiLevelType w:val="hybridMultilevel"/>
    <w:lvl w:ilvl="0">
      <w:lvlJc w:val="left"/>
      <w:lvlText w:val="%1."/>
      <w:numFmt w:val="decimal"/>
      <w:start w:val="3"/>
    </w:lvl>
    <w:lvl w:ilvl="1">
      <w:lvlJc w:val="left"/>
      <w:lvlText w:val="(%2)"/>
      <w:numFmt w:val="lowerLetter"/>
      <w:start w:val="1"/>
    </w:lvl>
  </w:abstractNum>
  <w:abstractNum w:abstractNumId="187">
    <w:nsid w:val="BB13C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88">
    <w:nsid w:val="271210C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9">
    <w:nsid w:val="217B22E4"/>
    <w:multiLevelType w:val="hybridMultilevel"/>
    <w:lvl w:ilvl="0">
      <w:lvlJc w:val="left"/>
      <w:lvlText w:val="%1"/>
      <w:numFmt w:val="decimal"/>
      <w:start w:val="1"/>
    </w:lvl>
    <w:lvl w:ilvl="1">
      <w:lvlJc w:val="left"/>
      <w:lvlText w:val="(%2)"/>
      <w:numFmt w:val="lowerRoman"/>
      <w:start w:val="3"/>
    </w:lvl>
  </w:abstractNum>
  <w:abstractNum w:abstractNumId="190">
    <w:nsid w:val="53E31A24"/>
    <w:multiLevelType w:val="hybridMultilevel"/>
    <w:lvl w:ilvl="0">
      <w:lvlJc w:val="left"/>
      <w:lvlText w:val="(%1)"/>
      <w:numFmt w:val="decimal"/>
      <w:start w:val="1"/>
    </w:lvl>
    <w:lvl w:ilvl="1">
      <w:lvlJc w:val="left"/>
      <w:lvlText w:val="(%2)"/>
      <w:numFmt w:val="lowerRoman"/>
      <w:start w:val="4"/>
    </w:lvl>
  </w:abstractNum>
  <w:abstractNum w:abstractNumId="191">
    <w:nsid w:val="6DC45E83"/>
    <w:multiLevelType w:val="hybridMultilevel"/>
    <w:lvl w:ilvl="0">
      <w:lvlJc w:val="left"/>
      <w:lvlText w:val="%1"/>
      <w:numFmt w:val="lowerRoman"/>
      <w:start w:val="1"/>
    </w:lvl>
    <w:lvl w:ilvl="1">
      <w:lvlJc w:val="left"/>
      <w:lvlText w:val="(%2)"/>
      <w:numFmt w:val="lowerRoman"/>
      <w:start w:val="8"/>
    </w:lvl>
  </w:abstractNum>
  <w:abstractNum w:abstractNumId="192">
    <w:nsid w:val="17304A67"/>
    <w:multiLevelType w:val="hybridMultilevel"/>
    <w:lvl w:ilvl="0">
      <w:lvlJc w:val="left"/>
      <w:lvlText w:val="(%1)"/>
      <w:numFmt w:val="lowerRoman"/>
      <w:start w:val="1"/>
    </w:lvl>
    <w:lvl w:ilvl="1">
      <w:lvlJc w:val="left"/>
      <w:lvlText w:val="%2"/>
      <w:numFmt w:val="lowerRoman"/>
      <w:start w:val="1"/>
    </w:lvl>
  </w:abstractNum>
  <w:abstractNum w:abstractNumId="193">
    <w:nsid w:val="2BB180D8"/>
    <w:multiLevelType w:val="hybridMultilevel"/>
    <w:lvl w:ilvl="0">
      <w:lvlJc w:val="left"/>
      <w:lvlText w:val="(%1)"/>
      <w:numFmt w:val="lowerLetter"/>
      <w:start w:val="3"/>
    </w:lvl>
  </w:abstractNum>
  <w:abstractNum w:abstractNumId="194">
    <w:nsid w:val="556B69ED"/>
    <w:multiLevelType w:val="hybridMultilevel"/>
    <w:lvl w:ilvl="0">
      <w:lvlJc w:val="left"/>
      <w:lvlText w:val="%1"/>
      <w:numFmt w:val="decimal"/>
      <w:start w:val="1"/>
    </w:lvl>
    <w:lvl w:ilvl="1">
      <w:lvlJc w:val="left"/>
      <w:lvlText w:val="(%2)"/>
      <w:numFmt w:val="lowerLetter"/>
      <w:start w:val="5"/>
    </w:lvl>
  </w:abstractNum>
  <w:abstractNum w:abstractNumId="195">
    <w:nsid w:val="70836196"/>
    <w:multiLevelType w:val="hybridMultilevel"/>
    <w:lvl w:ilvl="0">
      <w:lvlJc w:val="left"/>
      <w:lvlText w:val="%1."/>
      <w:numFmt w:val="decimal"/>
      <w:start w:val="6"/>
    </w:lvl>
    <w:lvl w:ilvl="1">
      <w:lvlJc w:val="left"/>
      <w:lvlText w:val="%2"/>
      <w:numFmt w:val="lowerLetter"/>
      <w:start w:val="1"/>
    </w:lvl>
  </w:abstractNum>
  <w:abstractNum w:abstractNumId="196">
    <w:nsid w:val="539F7F1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97">
    <w:nsid w:val="2817E7EC"/>
    <w:multiLevelType w:val="hybridMultilevel"/>
    <w:lvl w:ilvl="0">
      <w:lvlJc w:val="left"/>
      <w:lvlText w:val="%1"/>
      <w:numFmt w:val="upperLetter"/>
      <w:start w:val="1"/>
    </w:lvl>
    <w:lvl w:ilvl="1">
      <w:lvlJc w:val="left"/>
      <w:lvlText w:val="%2."/>
      <w:numFmt w:val="decimal"/>
      <w:start w:val="5"/>
    </w:lvl>
  </w:abstractNum>
  <w:abstractNum w:abstractNumId="198">
    <w:nsid w:val="71482545"/>
    <w:multiLevelType w:val="hybridMultilevel"/>
    <w:lvl w:ilvl="0">
      <w:lvlJc w:val="left"/>
      <w:lvlText w:val="%1."/>
      <w:numFmt w:val="upperLetter"/>
      <w:start w:val="2"/>
    </w:lvl>
    <w:lvl w:ilvl="1">
      <w:lvlJc w:val="left"/>
      <w:lvlText w:val="%2"/>
      <w:numFmt w:val="decimal"/>
      <w:start w:val="1"/>
    </w:lvl>
  </w:abstractNum>
  <w:abstractNum w:abstractNumId="199">
    <w:nsid w:val="17D78639"/>
    <w:multiLevelType w:val="hybridMultilevel"/>
    <w:lvl w:ilvl="0">
      <w:lvlJc w:val="left"/>
      <w:lvlText w:val="%1."/>
      <w:numFmt w:val="upperLetter"/>
      <w:start w:val="1"/>
    </w:lvl>
  </w:abstractNum>
  <w:abstractNum w:abstractNumId="200">
    <w:nsid w:val="141D2302"/>
    <w:multiLevelType w:val="hybridMultilevel"/>
    <w:lvl w:ilvl="0">
      <w:lvlJc w:val="left"/>
      <w:lvlText w:val="%1."/>
      <w:numFmt w:val="upperLetter"/>
      <w:start w:val="5"/>
    </w:lvl>
  </w:abstractNum>
  <w:abstractNum w:abstractNumId="201">
    <w:nsid w:val="407168D8"/>
    <w:multiLevelType w:val="hybridMultilevel"/>
    <w:lvl w:ilvl="0">
      <w:lvlJc w:val="left"/>
      <w:lvlText w:val="%1."/>
      <w:numFmt w:val="upperLetter"/>
      <w:start w:val="1"/>
    </w:lvl>
    <w:lvl w:ilvl="1">
      <w:lvlJc w:val="left"/>
      <w:lvlText w:val="*"/>
      <w:numFmt w:val="bullet"/>
      <w:start w:val="1"/>
    </w:lvl>
  </w:abstractNum>
  <w:abstractNum w:abstractNumId="202">
    <w:nsid w:val="6A1B45E5"/>
    <w:multiLevelType w:val="hybridMultilevel"/>
    <w:lvl w:ilvl="0">
      <w:lvlJc w:val="left"/>
      <w:lvlText w:val="%1:"/>
      <w:numFmt w:val="upperLetter"/>
      <w:start w:val="20"/>
    </w:lvl>
  </w:abstractNum>
  <w:abstractNum w:abstractNumId="203">
    <w:nsid w:val="567BD50A"/>
    <w:multiLevelType w:val="hybridMultilevel"/>
    <w:lvl w:ilvl="0">
      <w:lvlJc w:val="left"/>
      <w:lvlText w:val="%1."/>
      <w:numFmt w:val="decimal"/>
      <w:start w:val="1"/>
    </w:lvl>
    <w:lvl w:ilvl="1">
      <w:lvlJc w:val="left"/>
      <w:lvlText w:val="(%2)"/>
      <w:numFmt w:val="lowerLetter"/>
      <w:start w:val="1"/>
    </w:lvl>
  </w:abstractNum>
  <w:abstractNum w:abstractNumId="204">
    <w:nsid w:val="73BBD7F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5">
    <w:nsid w:val="1876589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6">
    <w:nsid w:val="327FAC77"/>
    <w:multiLevelType w:val="hybridMultilevel"/>
    <w:lvl w:ilvl="0">
      <w:lvlJc w:val="left"/>
      <w:lvlText w:val="%1"/>
      <w:numFmt w:val="decimal"/>
      <w:start w:val="1"/>
    </w:lvl>
    <w:lvl w:ilvl="1">
      <w:lvlJc w:val="left"/>
      <w:lvlText w:val="(%2)"/>
      <w:numFmt w:val="lowerLetter"/>
      <w:start w:val="4"/>
    </w:lvl>
  </w:abstractNum>
  <w:abstractNum w:abstractNumId="207">
    <w:nsid w:val="5A606509"/>
    <w:multiLevelType w:val="hybridMultilevel"/>
    <w:lvl w:ilvl="0">
      <w:lvlJc w:val="left"/>
      <w:lvlText w:val="%1."/>
      <w:numFmt w:val="decimal"/>
      <w:start w:val="4"/>
    </w:lvl>
    <w:lvl w:ilvl="1">
      <w:lvlJc w:val="left"/>
      <w:lvlText w:val="%2"/>
      <w:numFmt w:val="lowerLetter"/>
      <w:start w:val="1"/>
    </w:lvl>
  </w:abstractNum>
  <w:abstractNum w:abstractNumId="208">
    <w:nsid w:val="6F38E6D1"/>
    <w:multiLevelType w:val="hybridMultilevel"/>
    <w:lvl w:ilvl="0">
      <w:lvlJc w:val="left"/>
      <w:lvlText w:val="(%1)"/>
      <w:numFmt w:val="lowerLetter"/>
      <w:start w:val="1"/>
    </w:lvl>
  </w:abstractNum>
  <w:abstractNum w:abstractNumId="209">
    <w:nsid w:val="46111BA5"/>
    <w:multiLevelType w:val="hybridMultilevel"/>
    <w:lvl w:ilvl="0">
      <w:lvlJc w:val="left"/>
      <w:lvlText w:val="%1"/>
      <w:numFmt w:val="lowerLetter"/>
      <w:start w:val="1"/>
    </w:lvl>
    <w:lvl w:ilvl="1">
      <w:lvlJc w:val="left"/>
      <w:lvlText w:val="(%2)"/>
      <w:numFmt w:val="lowerRoman"/>
      <w:start w:val="1"/>
    </w:lvl>
  </w:abstractNum>
  <w:abstractNum w:abstractNumId="210">
    <w:nsid w:val="5E963896"/>
    <w:multiLevelType w:val="hybridMultilevel"/>
    <w:lvl w:ilvl="0">
      <w:lvlJc w:val="left"/>
      <w:lvlText w:val="(%1)"/>
      <w:numFmt w:val="lowerLetter"/>
      <w:start w:val="4"/>
    </w:lvl>
    <w:lvl w:ilvl="1">
      <w:lvlJc w:val="left"/>
      <w:lvlText w:val="%2"/>
      <w:numFmt w:val="lowerRoman"/>
      <w:start w:val="1"/>
    </w:lvl>
  </w:abstractNum>
  <w:abstractNum w:abstractNumId="211">
    <w:nsid w:val="775BA7C1"/>
    <w:multiLevelType w:val="hybridMultilevel"/>
    <w:lvl w:ilvl="0">
      <w:lvlJc w:val="left"/>
      <w:lvlText w:val="%1"/>
      <w:numFmt w:val="lowerLetter"/>
      <w:start w:val="1"/>
    </w:lvl>
    <w:lvl w:ilvl="1">
      <w:lvlJc w:val="left"/>
      <w:lvlText w:val="(%2)"/>
      <w:numFmt w:val="lowerRoman"/>
      <w:start w:val="1"/>
    </w:lvl>
  </w:abstractNum>
  <w:abstractNum w:abstractNumId="212">
    <w:nsid w:val="1DD6D6F4"/>
    <w:multiLevelType w:val="hybridMultilevel"/>
    <w:lvl w:ilvl="0">
      <w:lvlJc w:val="left"/>
      <w:lvlText w:val="(%1)"/>
      <w:numFmt w:val="lowerLetter"/>
      <w:start w:val="6"/>
    </w:lvl>
    <w:lvl w:ilvl="1">
      <w:lvlJc w:val="left"/>
      <w:lvlText w:val="%2"/>
      <w:numFmt w:val="lowerRoman"/>
      <w:start w:val="1"/>
    </w:lvl>
  </w:abstractNum>
  <w:abstractNum w:abstractNumId="213">
    <w:nsid w:val="769A091F"/>
    <w:multiLevelType w:val="hybridMultilevel"/>
    <w:lvl w:ilvl="0">
      <w:lvlJc w:val="left"/>
      <w:lvlText w:val="(%1)"/>
      <w:numFmt w:val="lowerRoman"/>
      <w:start w:val="1"/>
    </w:lvl>
  </w:abstractNum>
  <w:abstractNum w:abstractNumId="214">
    <w:nsid w:val="4695AE95"/>
    <w:multiLevelType w:val="hybridMultilevel"/>
    <w:lvl w:ilvl="0">
      <w:lvlJc w:val="left"/>
      <w:lvlText w:val="(%1)"/>
      <w:numFmt w:val="lowerLetter"/>
      <w:start w:val="9"/>
    </w:lvl>
  </w:abstractNum>
  <w:abstractNum w:abstractNumId="215">
    <w:nsid w:val="777A4EAA"/>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decimal"/>
      <w:start w:val="1"/>
    </w:lvl>
  </w:abstractNum>
  <w:abstractNum w:abstractNumId="216">
    <w:nsid w:val="3F48B98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17">
    <w:nsid w:val="46BA8FC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218">
    <w:nsid w:val="7835626C"/>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219">
    <w:nsid w:val="665ACA4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20">
    <w:nsid w:val="6835B2A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21">
    <w:nsid w:val="4C187C9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22">
    <w:nsid w:val="541F28CD"/>
    <w:multiLevelType w:val="hybridMultilevel"/>
    <w:lvl w:ilvl="0">
      <w:lvlJc w:val="left"/>
      <w:lvlText w:val="(%1)"/>
      <w:numFmt w:val="lowerRoman"/>
      <w:start w:val="2"/>
    </w:lvl>
  </w:abstractNum>
  <w:abstractNum w:abstractNumId="223">
    <w:nsid w:val="7F65FD1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224">
    <w:nsid w:val="77C9FD68"/>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225">
    <w:nsid w:val="298A92BA"/>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26">
    <w:nsid w:val="6FE95EAC"/>
    <w:multiLevelType w:val="hybridMultilevel"/>
    <w:lvl w:ilvl="0">
      <w:lvlJc w:val="left"/>
      <w:lvlText w:val="(%1)"/>
      <w:numFmt w:val="lowerRoman"/>
      <w:start w:val="2"/>
    </w:lvl>
  </w:abstractNum>
  <w:abstractNum w:abstractNumId="227">
    <w:nsid w:val="4B697C7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228">
    <w:nsid w:val="51A27AA6"/>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abstractNum>
  <w:abstractNum w:abstractNumId="229">
    <w:nsid w:val="613183F2"/>
    <w:multiLevelType w:val="hybridMultilevel"/>
    <w:lvl w:ilvl="0">
      <w:lvlJc w:val="left"/>
      <w:lvlText w:val="%1"/>
      <w:numFmt w:val="decimal"/>
      <w:start w:val="1"/>
    </w:lvl>
    <w:lvl w:ilvl="1">
      <w:lvlJc w:val="left"/>
      <w:lvlText w:val="(%2)"/>
      <w:numFmt w:val="lowerLetter"/>
      <w:start w:val="3"/>
    </w:lvl>
  </w:abstractNum>
  <w:abstractNum w:abstractNumId="230">
    <w:nsid w:val="634102B4"/>
    <w:multiLevelType w:val="hybridMultilevel"/>
    <w:lvl w:ilvl="0">
      <w:lvlJc w:val="left"/>
      <w:lvlText w:val="%1."/>
      <w:numFmt w:val="decimal"/>
      <w:start w:val="8"/>
    </w:lvl>
    <w:lvl w:ilvl="1">
      <w:lvlJc w:val="left"/>
      <w:lvlText w:val="(%2)"/>
      <w:numFmt w:val="lowerLetter"/>
      <w:start w:val="1"/>
    </w:lvl>
  </w:abstractNum>
  <w:abstractNum w:abstractNumId="231">
    <w:nsid w:val="65BF9DA8"/>
    <w:multiLevelType w:val="hybridMultilevel"/>
    <w:lvl w:ilvl="0">
      <w:lvlJc w:val="left"/>
      <w:lvlText w:val="%1"/>
      <w:numFmt w:val="decimal"/>
      <w:start w:val="1"/>
    </w:lvl>
    <w:lvl w:ilvl="1">
      <w:lvlJc w:val="left"/>
      <w:lvlText w:val="(%2)"/>
      <w:numFmt w:val="lowerLetter"/>
      <w:start w:val="4"/>
    </w:lvl>
  </w:abstractNum>
  <w:abstractNum w:abstractNumId="232">
    <w:nsid w:val="21A2ECCA"/>
    <w:multiLevelType w:val="hybridMultilevel"/>
    <w:lvl w:ilvl="0">
      <w:lvlJc w:val="left"/>
      <w:lvlText w:val="%1."/>
      <w:numFmt w:val="decimal"/>
      <w:start w:val="9"/>
    </w:lvl>
    <w:lvl w:ilvl="1">
      <w:lvlJc w:val="left"/>
      <w:lvlText w:val="(%2)"/>
      <w:numFmt w:val="lowerLetter"/>
      <w:start w:val="1"/>
    </w:lvl>
  </w:abstractNum>
  <w:abstractNum w:abstractNumId="233">
    <w:nsid w:val="4D5C4899"/>
    <w:multiLevelType w:val="hybridMultilevel"/>
    <w:lvl w:ilvl="0">
      <w:lvlJc w:val="left"/>
      <w:lvlText w:val="(%1)"/>
      <w:numFmt w:val="lowerLetter"/>
      <w:start w:val="4"/>
    </w:lvl>
  </w:abstractNum>
  <w:abstractNum w:abstractNumId="234">
    <w:nsid w:val="3C3B72B2"/>
    <w:multiLevelType w:val="hybridMultilevel"/>
    <w:lvl w:ilvl="0">
      <w:lvlJc w:val="left"/>
      <w:lvlText w:val="(%1)"/>
      <w:numFmt w:val="lowerLetter"/>
      <w:start w:val="9"/>
    </w:lvl>
  </w:abstractNum>
  <w:abstractNum w:abstractNumId="235">
    <w:nsid w:val="155EC4C2"/>
    <w:multiLevelType w:val="hybridMultilevel"/>
    <w:lvl w:ilvl="0">
      <w:lvlJc w:val="left"/>
      <w:lvlText w:val="%1"/>
      <w:numFmt w:val="decimal"/>
      <w:start w:val="1"/>
    </w:lvl>
    <w:lvl w:ilvl="1">
      <w:lvlJc w:val="left"/>
      <w:lvlText w:val="(%2)"/>
      <w:numFmt w:val="lowerLetter"/>
      <w:start w:val="14"/>
    </w:lvl>
  </w:abstractNum>
  <w:abstractNum w:abstractNumId="236">
    <w:nsid w:val="65D2A137"/>
    <w:multiLevelType w:val="hybridMultilevel"/>
    <w:lvl w:ilvl="0">
      <w:lvlJc w:val="left"/>
      <w:lvlText w:val="%1."/>
      <w:numFmt w:val="decimal"/>
      <w:start w:val="10"/>
    </w:lvl>
    <w:lvl w:ilvl="1">
      <w:lvlJc w:val="left"/>
      <w:lvlText w:val="%2"/>
      <w:numFmt w:val="lowerLetter"/>
      <w:start w:val="1"/>
    </w:lvl>
  </w:abstractNum>
  <w:abstractNum w:abstractNumId="237">
    <w:nsid w:val="6EBB1F2A"/>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38">
    <w:nsid w:val="6FBF29CB"/>
    <w:multiLevelType w:val="hybridMultilevel"/>
    <w:lvl w:ilvl="0">
      <w:lvlJc w:val="left"/>
      <w:lvlText w:val="(%1)"/>
      <w:numFmt w:val="lowerRoman"/>
      <w:start w:val="1"/>
    </w:lvl>
    <w:lvl w:ilvl="1">
      <w:lvlJc w:val="left"/>
      <w:lvlText w:val="(%2)"/>
      <w:numFmt w:val="decimal"/>
      <w:start w:val="1"/>
    </w:lvl>
  </w:abstractNum>
  <w:abstractNum w:abstractNumId="239">
    <w:nsid w:val="550B880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240">
    <w:nsid w:val="34CC3ACF"/>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41">
    <w:nsid w:val="4E556261"/>
    <w:multiLevelType w:val="hybridMultilevel"/>
    <w:lvl w:ilvl="0">
      <w:lvlJc w:val="left"/>
      <w:lvlText w:val="%1"/>
      <w:numFmt w:val="decimal"/>
      <w:start w:val="1"/>
    </w:lvl>
    <w:lvl w:ilvl="1">
      <w:lvlJc w:val="left"/>
      <w:lvlText w:val="(%2)"/>
      <w:numFmt w:val="lowerRoman"/>
      <w:start w:val="2"/>
    </w:lvl>
  </w:abstractNum>
  <w:abstractNum w:abstractNumId="242">
    <w:nsid w:val="4C672FC9"/>
    <w:multiLevelType w:val="hybridMultilevel"/>
    <w:lvl w:ilvl="0">
      <w:lvlJc w:val="left"/>
      <w:lvlText w:val="%1."/>
      <w:numFmt w:val="decimal"/>
      <w:start w:val="12"/>
    </w:lvl>
    <w:lvl w:ilvl="1">
      <w:lvlJc w:val="left"/>
      <w:lvlText w:val="%2"/>
      <w:numFmt w:val="lowerRoman"/>
      <w:start w:val="1"/>
    </w:lvl>
  </w:abstractNum>
  <w:abstractNum w:abstractNumId="243">
    <w:nsid w:val="52A311C3"/>
    <w:multiLevelType w:val="hybridMultilevel"/>
    <w:lvl w:ilvl="0">
      <w:lvlJc w:val="left"/>
      <w:lvlText w:val="%1."/>
      <w:numFmt w:val="decimal"/>
      <w:start w:val="13"/>
    </w:lvl>
  </w:abstractNum>
  <w:abstractNum w:abstractNumId="244">
    <w:nsid w:val="44EF6B80"/>
    <w:multiLevelType w:val="hybridMultilevel"/>
    <w:lvl w:ilvl="0">
      <w:lvlJc w:val="left"/>
      <w:lvlText w:val="%1."/>
      <w:numFmt w:val="decimal"/>
      <w:start w:val="14"/>
    </w:lvl>
    <w:lvl w:ilvl="1">
      <w:lvlJc w:val="left"/>
      <w:lvlText w:val="(%2)"/>
      <w:numFmt w:val="lowerLetter"/>
      <w:start w:val="1"/>
    </w:lvl>
  </w:abstractNum>
  <w:abstractNum w:abstractNumId="245">
    <w:nsid w:val="12FCDE5E"/>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0"/>
    </w:lvl>
    <w:lvl w:ilvl="3">
      <w:lvlJc w:val="left"/>
      <w:lvlText w:val="%4"/>
      <w:numFmt w:val="lowerLetter"/>
      <w:start w:val="1"/>
    </w:lvl>
  </w:abstractNum>
  <w:abstractNum w:abstractNumId="246">
    <w:nsid w:val="4A1D606E"/>
    <w:multiLevelType w:val="hybridMultilevel"/>
    <w:lvl w:ilvl="0">
      <w:lvlJc w:val="left"/>
      <w:lvlText w:val="(%1)"/>
      <w:numFmt w:val="lowerRoman"/>
      <w:start w:val="2"/>
    </w:lvl>
    <w:lvl w:ilvl="1">
      <w:lvlJc w:val="left"/>
      <w:lvlText w:val="(%2)"/>
      <w:numFmt w:val="upperLetter"/>
    </w:lvl>
    <w:lvl w:ilvl="2">
      <w:lvlJc w:val="left"/>
      <w:lvlText w:val="(%3)"/>
      <w:numFmt w:val="lowerLetter"/>
      <w:start w:val="11"/>
    </w:lvl>
    <w:lvl w:ilvl="3">
      <w:lvlJc w:val="left"/>
      <w:lvlText w:val="(%4)"/>
      <w:numFmt w:val="lowerLetter"/>
      <w:start w:val="9"/>
    </w:lvl>
  </w:abstractNum>
  <w:abstractNum w:abstractNumId="247">
    <w:nsid w:val="4382503"/>
    <w:multiLevelType w:val="hybridMultilevel"/>
    <w:lvl w:ilvl="0">
      <w:lvlJc w:val="left"/>
      <w:lvlText w:val="(%1)"/>
      <w:numFmt w:val="lowerRoman"/>
      <w:start w:val="2"/>
    </w:lvl>
  </w:abstractNum>
  <w:abstractNum w:abstractNumId="248">
    <w:nsid w:val="59B76E28"/>
    <w:multiLevelType w:val="hybridMultilevel"/>
    <w:lvl w:ilvl="0">
      <w:lvlJc w:val="left"/>
      <w:lvlText w:val="(%1)"/>
      <w:numFmt w:val="lowerLetter"/>
      <w:start w:val="12"/>
    </w:lvl>
  </w:abstractNum>
  <w:abstractNum w:abstractNumId="249">
    <w:nsid w:val="4252C2DA"/>
    <w:multiLevelType w:val="hybridMultilevel"/>
    <w:lvl w:ilvl="0">
      <w:lvlJc w:val="left"/>
      <w:lvlText w:val="(%1)"/>
      <w:numFmt w:val="lowerLetter"/>
      <w:start w:val="13"/>
    </w:lvl>
  </w:abstractNum>
  <w:abstractNum w:abstractNumId="250">
    <w:nsid w:val="6A92EF4C"/>
    <w:multiLevelType w:val="hybridMultilevel"/>
    <w:lvl w:ilvl="0">
      <w:lvlJc w:val="left"/>
      <w:lvlText w:val="(%1)"/>
      <w:numFmt w:val="lowerLetter"/>
      <w:start w:val="19"/>
    </w:lvl>
    <w:lvl w:ilvl="1">
      <w:lvlJc w:val="left"/>
      <w:lvlText w:val="(%2)"/>
      <w:numFmt w:val="lowerRoman"/>
      <w:start w:val="1"/>
    </w:lvl>
  </w:abstractNum>
  <w:abstractNum w:abstractNumId="251">
    <w:nsid w:val="41ED20D7"/>
    <w:multiLevelType w:val="hybridMultilevel"/>
    <w:lvl w:ilvl="0">
      <w:lvlJc w:val="left"/>
      <w:lvlText w:val="(%1)"/>
      <w:numFmt w:val="lowerLetter"/>
      <w:start w:val="20"/>
    </w:lvl>
  </w:abstractNum>
  <w:abstractNum w:abstractNumId="252">
    <w:nsid w:val="E6B3F6A"/>
    <w:multiLevelType w:val="hybridMultilevel"/>
    <w:lvl w:ilvl="0">
      <w:lvlJc w:val="left"/>
      <w:lvlText w:val="(%1)"/>
      <w:numFmt w:val="lowerLetter"/>
      <w:start w:val="24"/>
    </w:lvl>
  </w:abstractNum>
  <w:abstractNum w:abstractNumId="253">
    <w:nsid w:val="3EB21819"/>
    <w:multiLevelType w:val="hybridMultilevel"/>
    <w:lvl w:ilvl="0">
      <w:lvlJc w:val="left"/>
      <w:lvlText w:val="(%1)"/>
      <w:numFmt w:val="lowerLetter"/>
      <w:start w:val="27"/>
    </w:lvl>
  </w:abstractNum>
  <w:abstractNum w:abstractNumId="254">
    <w:nsid w:val="41531DED"/>
    <w:multiLevelType w:val="hybridMultilevel"/>
    <w:lvl w:ilvl="0">
      <w:lvlJc w:val="left"/>
      <w:lvlText w:val="(%1)"/>
      <w:numFmt w:val="lowerRoman"/>
      <w:start w:val="1"/>
    </w:lvl>
  </w:abstractNum>
  <w:abstractNum w:abstractNumId="255">
    <w:nsid w:val="6353CD2"/>
    <w:multiLevelType w:val="hybridMultilevel"/>
    <w:lvl w:ilvl="0">
      <w:lvlJc w:val="left"/>
      <w:lvlText w:val="(%1)"/>
      <w:numFmt w:val="decimal"/>
      <w:start w:val="4"/>
    </w:lvl>
  </w:abstractNum>
  <w:abstractNum w:abstractNumId="256">
    <w:nsid w:val="683CAAD3"/>
    <w:multiLevelType w:val="hybridMultilevel"/>
    <w:lvl w:ilvl="0">
      <w:lvlJc w:val="left"/>
      <w:lvlText w:val="(%1)"/>
      <w:numFmt w:val="lowerLetter"/>
      <w:start w:val="28"/>
    </w:lvl>
  </w:abstractNum>
  <w:abstractNum w:abstractNumId="257">
    <w:nsid w:val="313C7C99"/>
    <w:multiLevelType w:val="hybridMultilevel"/>
    <w:lvl w:ilvl="0">
      <w:lvlJc w:val="left"/>
      <w:lvlText w:val="•"/>
      <w:numFmt w:val="bullet"/>
      <w:start w:val="1"/>
    </w:lvl>
  </w:abstractNum>
  <w:abstractNum w:abstractNumId="258">
    <w:nsid w:val="519EB94C"/>
    <w:multiLevelType w:val="hybridMultilevel"/>
    <w:lvl w:ilvl="0">
      <w:lvlJc w:val="left"/>
      <w:lvlText w:val="•"/>
      <w:numFmt w:val="bullet"/>
      <w:start w:val="1"/>
    </w:lvl>
  </w:abstractNum>
  <w:abstractNum w:abstractNumId="259">
    <w:nsid w:val="39DF2579"/>
    <w:multiLevelType w:val="hybridMultilevel"/>
    <w:lvl w:ilvl="0">
      <w:lvlJc w:val="left"/>
      <w:lvlText w:val="%1."/>
      <w:numFmt w:val="decimal"/>
      <w:start w:val="1"/>
    </w:lvl>
    <w:lvl w:ilvl="1">
      <w:lvlJc w:val="left"/>
      <w:lvlText w:val="(%2)"/>
      <w:numFmt w:val="lowerLetter"/>
      <w:start w:val="1"/>
    </w:lvl>
  </w:abstractNum>
  <w:abstractNum w:abstractNumId="260">
    <w:nsid w:val="126E008B"/>
    <w:multiLevelType w:val="hybridMultilevel"/>
    <w:lvl w:ilvl="0">
      <w:lvlJc w:val="left"/>
      <w:lvlText w:val="%1."/>
      <w:numFmt w:val="decimal"/>
      <w:start w:val="2"/>
    </w:lvl>
    <w:lvl w:ilvl="1">
      <w:lvlJc w:val="left"/>
      <w:lvlText w:val="(%2)"/>
      <w:numFmt w:val="lowerLetter"/>
      <w:start w:val="1"/>
    </w:lvl>
  </w:abstractNum>
  <w:abstractNum w:abstractNumId="261">
    <w:nsid w:val="34DFBC0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2">
    <w:nsid w:val="1F9EC32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63">
    <w:nsid w:val="3410ED56"/>
    <w:multiLevelType w:val="hybridMultilevel"/>
    <w:lvl w:ilvl="0">
      <w:lvlJc w:val="left"/>
      <w:lvlText w:val="(%1)"/>
      <w:numFmt w:val="lowerLetter"/>
      <w:start w:val="4"/>
    </w:lvl>
  </w:abstractNum>
  <w:abstractNum w:abstractNumId="264">
    <w:nsid w:val="23C049A"/>
    <w:multiLevelType w:val="hybridMultilevel"/>
    <w:lvl w:ilvl="0">
      <w:lvlJc w:val="left"/>
      <w:lvlText w:val="%1."/>
      <w:numFmt w:val="decimal"/>
      <w:start w:val="4"/>
    </w:lvl>
  </w:abstractNum>
  <w:abstractNum w:abstractNumId="265">
    <w:nsid w:val="5BDA35D4"/>
    <w:multiLevelType w:val="hybridMultilevel"/>
    <w:lvl w:ilvl="0">
      <w:lvlJc w:val="left"/>
      <w:lvlText w:val="%1."/>
      <w:numFmt w:val="decimal"/>
      <w:start w:val="6"/>
    </w:lvl>
  </w:abstractNum>
  <w:abstractNum w:abstractNumId="266">
    <w:nsid w:val="496FB218"/>
    <w:multiLevelType w:val="hybridMultilevel"/>
    <w:lvl w:ilvl="0">
      <w:lvlJc w:val="left"/>
      <w:lvlText w:val="•"/>
      <w:numFmt w:val="bullet"/>
      <w:start w:val="1"/>
    </w:lvl>
  </w:abstractNum>
  <w:abstractNum w:abstractNumId="267">
    <w:nsid w:val="680EA5D1"/>
    <w:multiLevelType w:val="hybridMultilevel"/>
    <w:lvl w:ilvl="0">
      <w:lvlJc w:val="left"/>
      <w:lvlText w:val="1"/>
      <w:numFmt w:val="bullet"/>
      <w:start w:val="1"/>
    </w:lvl>
  </w:abstractNum>
  <w:abstractNum w:abstractNumId="268">
    <w:nsid w:val="4A9554FE"/>
    <w:multiLevelType w:val="hybridMultilevel"/>
    <w:lvl w:ilvl="0">
      <w:lvlJc w:val="left"/>
      <w:lvlText w:val="%1."/>
      <w:numFmt w:val="decimal"/>
      <w:start w:val="1"/>
    </w:lvl>
    <w:lvl w:ilvl="1">
      <w:lvlJc w:val="left"/>
      <w:lvlText w:val="(%2)"/>
      <w:numFmt w:val="lowerLetter"/>
      <w:start w:val="1"/>
    </w:lvl>
  </w:abstractNum>
  <w:abstractNum w:abstractNumId="269">
    <w:nsid w:val="392EDBE4"/>
    <w:multiLevelType w:val="hybridMultilevel"/>
    <w:lvl w:ilvl="0">
      <w:lvlJc w:val="left"/>
      <w:lvlText w:val="%1."/>
      <w:numFmt w:val="decimal"/>
      <w:start w:val="2"/>
    </w:lvl>
  </w:abstractNum>
  <w:abstractNum w:abstractNumId="270">
    <w:nsid w:val="3D1A2DD9"/>
    <w:multiLevelType w:val="hybridMultilevel"/>
    <w:lvl w:ilvl="0">
      <w:lvlJc w:val="left"/>
      <w:lvlText w:val="%1."/>
      <w:numFmt w:val="decimal"/>
      <w:start w:val="4"/>
    </w:lvl>
    <w:lvl w:ilvl="1">
      <w:lvlJc w:val="left"/>
      <w:lvlText w:val="(%2)"/>
      <w:numFmt w:val="lowerLetter"/>
      <w:start w:val="1"/>
    </w:lvl>
  </w:abstractNum>
  <w:abstractNum w:abstractNumId="271">
    <w:nsid w:val="7F618FCD"/>
    <w:multiLevelType w:val="hybridMultilevel"/>
    <w:lvl w:ilvl="0">
      <w:lvlJc w:val="left"/>
      <w:lvlText w:val="(%1)"/>
      <w:numFmt w:val="lowerRoman"/>
      <w:start w:val="1"/>
    </w:lvl>
  </w:abstractNum>
  <w:abstractNum w:abstractNumId="272">
    <w:nsid w:val="7843E4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73">
    <w:nsid w:val="9815DA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74">
    <w:nsid w:val="5204A19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75">
    <w:nsid w:val="4C73A9C6"/>
    <w:multiLevelType w:val="hybridMultilevel"/>
    <w:lvl w:ilvl="0">
      <w:lvlJc w:val="left"/>
      <w:lvlText w:val="%1."/>
      <w:numFmt w:val="decimal"/>
      <w:start w:val="9"/>
    </w:lvl>
  </w:abstractNum>
  <w:abstractNum w:abstractNumId="276">
    <w:nsid w:val="1C7E3C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7">
    <w:nsid w:val="1C2201FF"/>
    <w:multiLevelType w:val="hybridMultilevel"/>
    <w:lvl w:ilvl="0">
      <w:lvlJc w:val="left"/>
      <w:lvlText w:val="%1"/>
      <w:numFmt w:val="decimal"/>
      <w:start w:val="1"/>
    </w:lvl>
    <w:lvl w:ilvl="1">
      <w:lvlJc w:val="left"/>
      <w:lvlText w:val="(%2)"/>
      <w:numFmt w:val="lowerLetter"/>
      <w:start w:val="3"/>
    </w:lvl>
  </w:abstractNum>
  <w:abstractNum w:abstractNumId="278">
    <w:nsid w:val="50ABCEC9"/>
    <w:multiLevelType w:val="hybridMultilevel"/>
    <w:lvl w:ilvl="0">
      <w:lvlJc w:val="left"/>
      <w:lvlText w:val="%1."/>
      <w:numFmt w:val="decimal"/>
      <w:start w:val="3"/>
    </w:lvl>
    <w:lvl w:ilvl="1">
      <w:lvlJc w:val="left"/>
      <w:lvlText w:val="(%2)"/>
      <w:numFmt w:val="lowerLetter"/>
      <w:start w:val="1"/>
    </w:lvl>
  </w:abstractNum>
  <w:abstractNum w:abstractNumId="279">
    <w:nsid w:val="7635AA2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0">
    <w:nsid w:val="5E74C4D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1">
    <w:nsid w:val="3B3EBE1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82">
    <w:nsid w:val="3822CB0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83">
    <w:nsid w:val="6CE00443"/>
    <w:multiLevelType w:val="hybridMultilevel"/>
    <w:lvl w:ilvl="0">
      <w:lvlJc w:val="left"/>
      <w:lvlText w:val="%1."/>
      <w:numFmt w:val="decimal"/>
      <w:start w:val="7"/>
    </w:lvl>
    <w:lvl w:ilvl="1">
      <w:lvlJc w:val="left"/>
      <w:lvlText w:val="(%2)"/>
      <w:numFmt w:val="lowerLetter"/>
      <w:start w:val="1"/>
    </w:lvl>
  </w:abstractNum>
  <w:abstractNum w:abstractNumId="284">
    <w:nsid w:val="79F0D62F"/>
    <w:multiLevelType w:val="hybridMultilevel"/>
    <w:lvl w:ilvl="0">
      <w:lvlJc w:val="left"/>
      <w:lvlText w:val="%1"/>
      <w:numFmt w:val="decimal"/>
      <w:start w:val="1"/>
    </w:lvl>
    <w:lvl w:ilvl="1">
      <w:lvlJc w:val="left"/>
      <w:lvlText w:val="(%2)"/>
      <w:numFmt w:val="lowerLetter"/>
      <w:start w:val="3"/>
    </w:lvl>
  </w:abstractNum>
  <w:abstractNum w:abstractNumId="285">
    <w:nsid w:val="7975E8EE"/>
    <w:multiLevelType w:val="hybridMultilevel"/>
    <w:lvl w:ilvl="0">
      <w:lvlJc w:val="left"/>
      <w:lvlText w:val="%1."/>
      <w:numFmt w:val="decimal"/>
      <w:start w:val="9"/>
    </w:lvl>
    <w:lvl w:ilvl="1">
      <w:lvlJc w:val="left"/>
      <w:lvlText w:val="%2"/>
      <w:numFmt w:val="lowerLetter"/>
      <w:start w:val="1"/>
    </w:lvl>
  </w:abstractNum>
  <w:abstractNum w:abstractNumId="286">
    <w:nsid w:val="73154115"/>
    <w:multiLevelType w:val="hybridMultilevel"/>
    <w:lvl w:ilvl="0">
      <w:lvlJc w:val="left"/>
      <w:lvlText w:val="%1."/>
      <w:numFmt w:val="decimal"/>
      <w:start w:val="10"/>
    </w:lvl>
    <w:lvl w:ilvl="1">
      <w:lvlJc w:val="left"/>
      <w:lvlText w:val="(%2)"/>
      <w:numFmt w:val="lowerLetter"/>
      <w:start w:val="1"/>
    </w:lvl>
  </w:abstractNum>
  <w:abstractNum w:abstractNumId="287">
    <w:nsid w:val="622D8102"/>
    <w:multiLevelType w:val="hybridMultilevel"/>
    <w:lvl w:ilvl="0">
      <w:lvlJc w:val="left"/>
      <w:lvlText w:val="%1."/>
      <w:numFmt w:val="decimal"/>
      <w:start w:val="11"/>
    </w:lvl>
    <w:lvl w:ilvl="1">
      <w:lvlJc w:val="left"/>
      <w:lvlText w:val="(%2)"/>
      <w:numFmt w:val="lowerLetter"/>
      <w:start w:val="1"/>
    </w:lvl>
  </w:abstractNum>
  <w:abstractNum w:abstractNumId="288">
    <w:nsid w:val="2AB26587"/>
    <w:multiLevelType w:val="hybridMultilevel"/>
    <w:lvl w:ilvl="0">
      <w:lvlJc w:val="left"/>
      <w:lvlText w:val="%1."/>
      <w:numFmt w:val="decimal"/>
      <w:start w:val="14"/>
    </w:lvl>
    <w:lvl w:ilvl="1">
      <w:lvlJc w:val="left"/>
      <w:lvlText w:val="(%2)"/>
      <w:numFmt w:val="lowerLetter"/>
      <w:start w:val="1"/>
    </w:lvl>
  </w:abstractNum>
  <w:abstractNum w:abstractNumId="289">
    <w:nsid w:val="44B3FA61"/>
    <w:multiLevelType w:val="hybridMultilevel"/>
    <w:lvl w:ilvl="0">
      <w:lvlJc w:val="left"/>
      <w:lvlText w:val="%1"/>
      <w:numFmt w:val="decimal"/>
      <w:start w:val="1"/>
    </w:lvl>
    <w:lvl w:ilvl="1">
      <w:lvlJc w:val="left"/>
      <w:lvlText w:val="(%2)"/>
      <w:numFmt w:val="lowerLetter"/>
      <w:start w:val="2"/>
    </w:lvl>
  </w:abstractNum>
  <w:abstractNum w:abstractNumId="290">
    <w:nsid w:val="1C0CA67C"/>
    <w:multiLevelType w:val="hybridMultilevel"/>
    <w:lvl w:ilvl="0">
      <w:lvlJc w:val="left"/>
      <w:lvlText w:val="%1."/>
      <w:numFmt w:val="decimal"/>
      <w:start w:val="15"/>
    </w:lvl>
    <w:lvl w:ilvl="1">
      <w:lvlJc w:val="left"/>
      <w:lvlText w:val="%2"/>
      <w:numFmt w:val="lowerLetter"/>
      <w:start w:val="1"/>
    </w:lvl>
  </w:abstractNum>
  <w:abstractNum w:abstractNumId="291">
    <w:nsid w:val="3D206613"/>
    <w:multiLevelType w:val="hybridMultilevel"/>
    <w:lvl w:ilvl="0">
      <w:lvlJc w:val="left"/>
      <w:lvlText w:val="(%1)"/>
      <w:numFmt w:val="lowerLetter"/>
      <w:start w:val="1"/>
    </w:lvl>
  </w:abstractNum>
  <w:abstractNum w:abstractNumId="292">
    <w:nsid w:val="7993B662"/>
    <w:multiLevelType w:val="hybridMultilevel"/>
    <w:lvl w:ilvl="0">
      <w:lvlJc w:val="left"/>
      <w:lvlText w:val="(%1)"/>
      <w:numFmt w:val="lowerLetter"/>
      <w:start w:val="4"/>
    </w:lvl>
    <w:lvl w:ilvl="1">
      <w:lvlJc w:val="left"/>
      <w:lvlText w:val="(%2)"/>
      <w:numFmt w:val="lowerRoman"/>
      <w:start w:val="1"/>
    </w:lvl>
  </w:abstractNum>
  <w:abstractNum w:abstractNumId="293">
    <w:nsid w:val="3BAB699E"/>
    <w:multiLevelType w:val="hybridMultilevel"/>
    <w:lvl w:ilvl="0">
      <w:lvlJc w:val="left"/>
      <w:lvlText w:val="(%1)"/>
      <w:numFmt w:val="lowerLetter"/>
      <w:start w:val="13"/>
    </w:lvl>
    <w:lvl w:ilvl="1">
      <w:lvlJc w:val="left"/>
      <w:lvlText w:val="(%2)"/>
      <w:numFmt w:val="lowerRoman"/>
      <w:start w:val="1"/>
    </w:lvl>
  </w:abstractNum>
  <w:abstractNum w:abstractNumId="294">
    <w:nsid w:val="71315369"/>
    <w:multiLevelType w:val="hybridMultilevel"/>
    <w:lvl w:ilvl="0">
      <w:lvlJc w:val="left"/>
      <w:lvlText w:val="(%1)"/>
      <w:numFmt w:val="lowerLetter"/>
      <w:start w:val="23"/>
    </w:lvl>
  </w:abstractNum>
  <w:abstractNum w:abstractNumId="295">
    <w:nsid w:val="7BCFBAFC"/>
    <w:multiLevelType w:val="hybridMultilevel"/>
    <w:lvl w:ilvl="0">
      <w:lvlJc w:val="left"/>
      <w:lvlText w:val="(%1)"/>
      <w:numFmt w:val="lowerLetter"/>
      <w:start w:val="27"/>
    </w:lvl>
  </w:abstractNum>
  <w:abstractNum w:abstractNumId="296">
    <w:nsid w:val="17859F72"/>
    <w:multiLevelType w:val="hybridMultilevel"/>
    <w:lvl w:ilvl="0">
      <w:lvlJc w:val="left"/>
      <w:lvlText w:val="%1."/>
      <w:numFmt w:val="decimal"/>
      <w:start w:val="1"/>
    </w:lvl>
    <w:lvl w:ilvl="1">
      <w:lvlJc w:val="left"/>
      <w:lvlText w:val="%2"/>
      <w:numFmt w:val="lowerLetter"/>
      <w:start w:val="1"/>
    </w:lvl>
  </w:abstractNum>
  <w:abstractNum w:abstractNumId="297">
    <w:nsid w:val="3AA1058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jpeg"/><Relationship Id="rId192" Type="http://schemas.openxmlformats.org/officeDocument/2006/relationships/image" Target="media/image160.jpe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135" Type="http://schemas.openxmlformats.org/officeDocument/2006/relationships/hyperlink" Target="https://www.sec.gov/Archives/edgar/data/1625278/000162828021020344/exhibit31-sx1a.htm" TargetMode="External"/><Relationship Id="rId136" Type="http://schemas.openxmlformats.org/officeDocument/2006/relationships/hyperlink" Target="https://www.sec.gov/Archives/edgar/data/1625278/000162828021019876/exhibit31-sx1.htm" TargetMode="External"/><Relationship Id="rId137" Type="http://schemas.openxmlformats.org/officeDocument/2006/relationships/hyperlink" Target="https://www.sec.gov/Archives/edgar/data/1625278/000162828021019876/exhibit36-sx1.htm" TargetMode="External"/><Relationship Id="rId138" Type="http://schemas.openxmlformats.org/officeDocument/2006/relationships/hyperlink" Target="https://www.sec.gov/Archives/edgar/data/1625278/000162828021020344/exhibit34-sx1a.htm" TargetMode="External"/><Relationship Id="rId139" Type="http://schemas.openxmlformats.org/officeDocument/2006/relationships/hyperlink" Target="https://www.sec.gov/Archives/edgar/data/1625278/000162828021019876/exhibit101-sx1.htm" TargetMode="External"/><Relationship Id="rId140" Type="http://schemas.openxmlformats.org/officeDocument/2006/relationships/hyperlink" Target="https://www.sec.gov/Archives/edgar/data/1625278/000162828021019876/exhibit102-sx1.htm" TargetMode="External"/><Relationship Id="rId141" Type="http://schemas.openxmlformats.org/officeDocument/2006/relationships/hyperlink" Target="https://www.sec.gov/Archives/edgar/data/1625278/000162828021019876/exhibit103-sx1.htm" TargetMode="External"/><Relationship Id="rId142" Type="http://schemas.openxmlformats.org/officeDocument/2006/relationships/hyperlink" Target="https://www.sec.gov/Archives/edgar/data/1625278/000162828021019876/exhibit104-sx1.htm" TargetMode="External"/><Relationship Id="rId143" Type="http://schemas.openxmlformats.org/officeDocument/2006/relationships/hyperlink" Target="https://www.sec.gov/Archives/edgar/data/1625278/000162828021019876/exhibit105-sx1.htm" TargetMode="External"/><Relationship Id="rId144" Type="http://schemas.openxmlformats.org/officeDocument/2006/relationships/hyperlink" Target="https://www.sec.gov/Archives/edgar/data/1625278/000162828021019876/exhibit106-sx1.htm" TargetMode="External"/><Relationship Id="rId145" Type="http://schemas.openxmlformats.org/officeDocument/2006/relationships/hyperlink" Target="https://www.sec.gov/Archives/edgar/data/1625278/000162828021019876/exhibit107-sx1.htm" TargetMode="External"/><Relationship Id="rId146" Type="http://schemas.openxmlformats.org/officeDocument/2006/relationships/hyperlink" Target="https://www.sec.gov/Archives/edgar/data/1625278/000162828021019876/exhibit108-sx1.htm" TargetMode="External"/><Relationship Id="rId147" Type="http://schemas.openxmlformats.org/officeDocument/2006/relationships/hyperlink" Target="https://www.sec.gov/Archives/edgar/data/1625278/000162828021019876/exhibit1013-sx1.htm" TargetMode="External"/><Relationship Id="rId148" Type="http://schemas.openxmlformats.org/officeDocument/2006/relationships/hyperlink" Target="https://www.sec.gov/Archives/edgar/data/1625278/000162828021019876/exhibit1014-sx1.htm" TargetMode="External"/><Relationship Id="rId149" Type="http://schemas.openxmlformats.org/officeDocument/2006/relationships/hyperlink" Target="https://www.sec.gov/Archives/edgar/data/1625278/000162828021019876/exhibit1015-sx1.htm" TargetMode="External"/><Relationship Id="rId150" Type="http://schemas.openxmlformats.org/officeDocument/2006/relationships/hyperlink" Target="https://www.sec.gov/Archives/edgar/data/1625278/000162828021019876/exhibit1016-sx1.htm" TargetMode="External"/><Relationship Id="rId151" Type="http://schemas.openxmlformats.org/officeDocument/2006/relationships/hyperlink" Target="https://www.sec.gov/Archives/edgar/data/1625278/000162828021020344/exhibit1017-sx1a.htm" TargetMode="External"/><Relationship Id="rId152" Type="http://schemas.openxmlformats.org/officeDocument/2006/relationships/hyperlink" Target="https://www.sec.gov/Archives/edgar/data/1625278/000162828021019876/exhibit1017-sx1.htm" TargetMode="External"/><Relationship Id="rId153" Type="http://schemas.openxmlformats.org/officeDocument/2006/relationships/hyperlink" Target="https://www.sec.gov/Archives/edgar/data/1625278/000162828021019876/exhibit1018-sx1.htm" TargetMode="External"/><Relationship Id="rId154" Type="http://schemas.openxmlformats.org/officeDocument/2006/relationships/hyperlink" Target="https://www.sec.gov/Archives/edgar/data/1625278/000162828021019876/exhibit1019-sx1.htm" TargetMode="External"/><Relationship Id="rId155" Type="http://schemas.openxmlformats.org/officeDocument/2006/relationships/hyperlink" Target="https://www.sec.gov/Archives/edgar/data/1625278/000162828021019876/exhibit1020-sx1.htm" TargetMode="External"/><Relationship Id="rId156" Type="http://schemas.openxmlformats.org/officeDocument/2006/relationships/hyperlink" Target="https://www.sec.gov/Archives/edgar/data/1625278/000162828021019876/exhibit1021-sx1.htm" TargetMode="External"/><Relationship Id="rId157" Type="http://schemas.openxmlformats.org/officeDocument/2006/relationships/hyperlink" Target="https://www.sec.gov/Archives/edgar/data/1625278/000162828021019876/exhibit1022-sx1.htm" TargetMode="External"/><Relationship Id="rId158" Type="http://schemas.openxmlformats.org/officeDocument/2006/relationships/hyperlink" Target="https://www.sec.gov/Archives/edgar/data/1625278/000162828021019876/exhibit211-sx1.htm" TargetMode="External"/><Relationship Id="rId159" Type="http://schemas.openxmlformats.org/officeDocument/2006/relationships/hyperlink" Target="https://www.sec.gov/Archives/edgar/data/0001625278/000162828021019876/nerdwallets-1.htm#ib3d6e061f28743aa9904a05b3c1cab72_1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2021-10-26T15:40:51Z</dcterms:created>
  <dcterms:modified xsi:type="dcterms:W3CDTF">2021-10-26T15:40:51Z</dcterms:modified>
</cp:coreProperties>
</file>