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May 6,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NERDWALLET,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before="0" w:after="0"/>
        <w:jc w:val="center"/>
        <w:rPr/>
      </w:pPr>
      <w:r>
        <w:rPr/>
      </w:r>
    </w:p>
    <w:tbl>
      <w:tblPr>
        <w:tblW w:w="7843" w:type="dxa"/>
        <w:jc w:val="center"/>
        <w:tblInd w:w="0" w:type="dxa"/>
        <w:tblLayout w:type="fixed"/>
        <w:tblCellMar>
          <w:top w:w="28" w:type="dxa"/>
          <w:left w:w="28" w:type="dxa"/>
          <w:bottom w:w="28" w:type="dxa"/>
          <w:right w:w="28" w:type="dxa"/>
        </w:tblCellMar>
      </w:tblPr>
      <w:tblGrid>
        <w:gridCol w:w="1148"/>
        <w:gridCol w:w="1008"/>
        <w:gridCol w:w="1023"/>
        <w:gridCol w:w="662"/>
        <w:gridCol w:w="662"/>
        <w:gridCol w:w="670"/>
        <w:gridCol w:w="780"/>
        <w:gridCol w:w="780"/>
        <w:gridCol w:w="1110"/>
      </w:tblGrid>
      <w:tr>
        <w:trPr/>
        <w:tc>
          <w:tcPr>
            <w:tcW w:w="114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001-40994</w:t>
            </w:r>
          </w:p>
        </w:tc>
        <w:tc>
          <w:tcPr>
            <w:tcW w:w="267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45-4180440</w:t>
            </w:r>
          </w:p>
        </w:tc>
      </w:tr>
      <w:tr>
        <w:trPr/>
        <w:tc>
          <w:tcPr>
            <w:tcW w:w="317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67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 S. B Street, Suite 9, San Mateo, California 94401</w:t>
      </w:r>
    </w:p>
    <w:p>
      <w:pPr>
        <w:pStyle w:val="TextBody"/>
        <w:bidi w:val="0"/>
        <w:spacing w:lineRule="auto" w:line="288" w:before="0" w:after="0"/>
        <w:jc w:val="center"/>
        <w:rPr/>
      </w:pPr>
      <w:r>
        <w:rPr>
          <w:rFonts w:ascii="Times New Roman;serif" w:hAnsi="Times New Roman;serif"/>
          <w:b w:val="false"/>
          <w:color w:val="000000"/>
          <w:sz w:val="16"/>
        </w:rPr>
        <w:t>(Address of principal executive offices)</w:t>
      </w:r>
      <w:r>
        <w:rPr>
          <w:color w:val="000000"/>
        </w:rPr>
        <w:t xml:space="preserve"> </w:t>
      </w:r>
      <w:r>
        <w:rPr>
          <w:rFonts w:ascii="Times New Roman;serif" w:hAnsi="Times New Roman;serif"/>
          <w:b w:val="false"/>
          <w:color w:val="000000"/>
          <w:sz w:val="16"/>
        </w:rPr>
        <w:t>(Zip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(415) 549-8913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14" w:type="dxa"/>
        <w:jc w:val="left"/>
        <w:tblInd w:w="0" w:type="dxa"/>
        <w:tblLayout w:type="fixed"/>
        <w:tblCellMar>
          <w:top w:w="28" w:type="dxa"/>
          <w:left w:w="28" w:type="dxa"/>
          <w:bottom w:w="28" w:type="dxa"/>
          <w:right w:w="28" w:type="dxa"/>
        </w:tblCellMar>
      </w:tblPr>
      <w:tblGrid>
        <w:gridCol w:w="1274"/>
        <w:gridCol w:w="1119"/>
        <w:gridCol w:w="1132"/>
        <w:gridCol w:w="554"/>
        <w:gridCol w:w="554"/>
        <w:gridCol w:w="556"/>
        <w:gridCol w:w="1118"/>
        <w:gridCol w:w="1118"/>
        <w:gridCol w:w="1589"/>
      </w:tblGrid>
      <w:tr>
        <w:trPr/>
        <w:tc>
          <w:tcPr>
            <w:tcW w:w="127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5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Class A common stock, $0.0001 par value</w:t>
            </w:r>
          </w:p>
        </w:tc>
        <w:tc>
          <w:tcPr>
            <w:tcW w:w="16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NRDS</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Global Market</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80"/>
        <w:jc w:val="both"/>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6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6, 2026, NerdWallet, Inc. (the Company) issued a press release announcing the financial results for the Company’s first quarter ended March 31, 2026. A copy of the press release is attached hereto as Exhibit 99.1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6, 2026, the Company also posted a first quarter shareholder letter available at its investor relations website at https://investors.nerdwallet.com.</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contents of the Company’s website referenced herein and in the exhibit are not incorporated into this Current Report on Form 8-K.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in these Items 2.02 and 7.01, including the exhibit hereto, (x) shall not be deemed to be “filed” for purposes of Section 18 of the Securities Exchange Act of 1934, as amended, or otherwise subject to the liabilities of that section and (y) shall not be incorporated by reference into any filing of the Company with the Securities and Exchange Commission, whether made before or after the date hereof, regardless of any general incorporation language in such filings (unless the Company specifically states that the information or exhibit in this particular report with respect to Item 2.02 or Item 7.01, as the case may be, are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737"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28"/>
        <w:gridCol w:w="1928"/>
        <w:gridCol w:w="2743"/>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arningsreleaseq1fy26.htm">
              <w:r>
                <w:rPr>
                  <w:rStyle w:val="InternetLink"/>
                  <w:rFonts w:ascii="Times New Roman;serif" w:hAnsi="Times New Roman;serif"/>
                  <w:b w:val="false"/>
                  <w:color w:val="0000FF"/>
                  <w:sz w:val="20"/>
                  <w:u w:val="single"/>
                </w:rPr>
                <w:t>Press Release dated May 6, 2026 issued by NerdWallet, Inc.</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before="0" w:after="0"/>
        <w:jc w:val="both"/>
        <w:rPr/>
      </w:pPr>
      <w:r>
        <w:rPr/>
      </w:r>
    </w:p>
    <w:tbl>
      <w:tblPr>
        <w:tblW w:w="4982"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317"/>
        <w:gridCol w:w="317"/>
        <w:gridCol w:w="317"/>
        <w:gridCol w:w="587"/>
        <w:gridCol w:w="587"/>
        <w:gridCol w:w="83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NERDWALLET,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Jun Hyung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Jun Hyung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center"/>
        <w:rPr/>
      </w:pPr>
      <w:r>
        <w:rPr/>
        <w:drawing>
          <wp:inline distT="0" distB="0" distL="0" distR="0">
            <wp:extent cx="2695575" cy="5905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695575" cy="590550"/>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NERDWALLET REPORTS FIRST QUARTER RESULTS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Revenue of $222.2 million, up 6% Year-Over-Year</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FINANCIAL HIGHLIGHTS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Revenue of $222.2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GAAP income from operations of $27.2 million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GAAP net income of $20.4 million or $0.29 income per diluted share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Non-GAAP operating income of $33.7 million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Adjusted EBITDA of $45.2 million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SAN FRANCISCO, CA—May 6, 2026—NerdWallet, Inc. (Nasdaq: NRDS), which provides trustworthy financial guidance to consumers and small and mid-sized businesses (SMBs), today reported financial results for its first quarter ended March 31, 2026.</w:t>
      </w:r>
    </w:p>
    <w:p>
      <w:pPr>
        <w:pStyle w:val="TextBody"/>
        <w:bidi w:val="0"/>
        <w:spacing w:lineRule="auto" w:line="288" w:before="0" w:after="180"/>
        <w:ind w:left="0" w:right="0" w:firstLine="360"/>
        <w:jc w:val="both"/>
        <w:rPr>
          <w:color w:val="000000"/>
        </w:rPr>
      </w:pPr>
      <w:r>
        <w:rPr>
          <w:color w:val="000000"/>
        </w:rPr>
        <w:t>“</w:t>
      </w:r>
      <w:r>
        <w:rPr>
          <w:rFonts w:ascii="Times New Roman;serif" w:hAnsi="Times New Roman;serif"/>
          <w:b w:val="false"/>
          <w:color w:val="000000"/>
          <w:sz w:val="20"/>
        </w:rPr>
        <w:t>In Q1, strength in banking and personal loans revenue helped offset headwinds in auto insurance,” said Tim Chen, Co-Founder and Chief Executive Officer of NerdWallet. “Looking ahead, I'm encouraged by our operational efficiency and strong balance sheet, which position us to accelerate our vertical integration strategy, while maintaining the flexibility to pursue alternative capital deployment opportunities.”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FIRST QUARTER 2026 HIGHLIGHTS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previously announced, effective with the first quarter of 2026, we present revenue disaggregated by our user groups: Consumer and SMB. This presentation is consistent with recent changes in how management evaluates our financial and business performance, including the information currently reviewed by our chief operating decision maker. Consumer revenue includes revenue from financial products and services intended for individual consumers, including insurance, credit cards, loans, bank accounts and other products and services. Consumer revenue includes our previously reported Insurance, Credit cards, Loans and Emerging verticals product categories. SMB revenue includes revenue from financial products and services intended for SMBs, including loans, credit cards and other products and services. Prior period disaggregation of revenue has been recast to conform to this new presentation.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Consumer revenue of $197.6 million increased 10% year-over-year, primarily driven by increases of $20.9 million from deposit accounts and $12.7 million from personal loans as partners expanded budgets, partially offset by a $12.5 million decrease from consumer credit cards primarily due to continued pressures in organic search traffic that have persisted for multiple quarters.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SMB revenue of $24.6 million was down 15% year-over-year, primarily due to continued pressures in organic search traffic, partially offset by an increase in business loan originations.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361950" cy="3714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361950" cy="371475"/>
                    </a:xfrm>
                    <a:prstGeom prst="rect">
                      <a:avLst/>
                    </a:prstGeom>
                  </pic:spPr>
                </pic:pic>
              </a:graphicData>
            </a:graphic>
          </wp:inline>
        </w:drawing>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6"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SUMMARY FINANCIAL RESULTS</w:t>
      </w:r>
    </w:p>
    <w:tbl>
      <w:tblPr>
        <w:tblW w:w="9217" w:type="dxa"/>
        <w:jc w:val="left"/>
        <w:tblInd w:w="0" w:type="dxa"/>
        <w:tblLayout w:type="fixed"/>
        <w:tblCellMar>
          <w:top w:w="28" w:type="dxa"/>
          <w:left w:w="28" w:type="dxa"/>
          <w:bottom w:w="28" w:type="dxa"/>
          <w:right w:w="28" w:type="dxa"/>
        </w:tblCellMar>
      </w:tblPr>
      <w:tblGrid>
        <w:gridCol w:w="1035"/>
        <w:gridCol w:w="913"/>
        <w:gridCol w:w="917"/>
        <w:gridCol w:w="109"/>
        <w:gridCol w:w="109"/>
        <w:gridCol w:w="109"/>
        <w:gridCol w:w="211"/>
        <w:gridCol w:w="631"/>
        <w:gridCol w:w="109"/>
        <w:gridCol w:w="109"/>
        <w:gridCol w:w="109"/>
        <w:gridCol w:w="109"/>
        <w:gridCol w:w="211"/>
        <w:gridCol w:w="631"/>
        <w:gridCol w:w="109"/>
        <w:gridCol w:w="109"/>
        <w:gridCol w:w="109"/>
        <w:gridCol w:w="109"/>
        <w:gridCol w:w="210"/>
        <w:gridCol w:w="211"/>
        <w:gridCol w:w="385"/>
        <w:gridCol w:w="109"/>
        <w:gridCol w:w="109"/>
        <w:gridCol w:w="109"/>
        <w:gridCol w:w="266"/>
        <w:gridCol w:w="796"/>
        <w:gridCol w:w="137"/>
        <w:gridCol w:w="109"/>
        <w:gridCol w:w="109"/>
        <w:gridCol w:w="109"/>
        <w:gridCol w:w="188"/>
        <w:gridCol w:w="188"/>
        <w:gridCol w:w="434"/>
      </w:tblGrid>
      <w:tr>
        <w:trPr/>
        <w:tc>
          <w:tcPr>
            <w:tcW w:w="103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QoQ</w:t>
            </w:r>
          </w:p>
        </w:tc>
      </w:tr>
      <w:tr>
        <w:trPr/>
        <w:tc>
          <w:tcPr>
            <w:tcW w:w="2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225.4</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Consumer</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SMB</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Non-GAAP financial measures</w:t>
            </w:r>
            <w:r>
              <w:rPr>
                <w:rFonts w:ascii="Times New Roman;serif" w:hAnsi="Times New Roman;serif"/>
                <w:b/>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Non-GAAP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262</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24.7</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114</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98.3</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    Consumer revenue consists of revenue from financial products and services intended for individual consumers, including insurance, credit cards, loans, bank accounts and other products and services.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    SMB revenue includes revenue from loans, credit cards and other financial products and services intended for small and mid-sized businesses.</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    Non-GAAP operating income and adjusted EBITDA are non-GAAP financial measures. See “Non-GAAP Financial Measures” for more information, including reconciliations to the most directly comparable financial measures calculated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QUARTERLY CONFERENCE CALL</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conference call to discuss NerdWallet’s first quarter 2026 financial results will be webcast live today, May 6, 2026 at 1:30 PM Pacific Time (PT). The live webcast is open to the public and will be available on NerdWallet’s investor relations website at https://investors.nerdwallet.com. Following completion of the call, a recorded replay of the webcast will be available on NerdWallet’s investor relations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SHAREHOLDER LETTER</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shareholder letter providing additional information and analysis can be found at NerdWallet’s investor relations website at https://investors.nerdwallet.com.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ABOUT NERDWALLET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NerdWallet (Nasdaq: NRDS) is on a mission to provide clarity for all of life’s financial decisions. As a personal finance website and app, NerdWallet provides consumers with trustworthy and knowledgeable financial information so they can make smart money moves. From finding the best credit card to buying a house, NerdWallet is there to help consumers make financial decisions with confidence. Consumers have free access to our expert content and comparison shopping marketplaces, plus a data-driven app, which helps them stay on top of their finances and save time and money, giving them the freedom to do more. NerdWallet is available in the U.S. and Canada.</w:t>
      </w:r>
    </w:p>
    <w:p>
      <w:pPr>
        <w:pStyle w:val="TextBody"/>
        <w:bidi w:val="0"/>
        <w:spacing w:lineRule="auto" w:line="288" w:before="0" w:after="180"/>
        <w:ind w:left="0" w:right="0" w:firstLine="360"/>
        <w:jc w:val="both"/>
        <w:rPr>
          <w:color w:val="000000"/>
        </w:rPr>
      </w:pPr>
      <w:r>
        <w:rPr>
          <w:color w:val="000000"/>
        </w:rPr>
        <w:t>“</w:t>
      </w:r>
      <w:r>
        <w:rPr>
          <w:rFonts w:ascii="Times New Roman;serif" w:hAnsi="Times New Roman;serif"/>
          <w:b w:val="false"/>
          <w:color w:val="000000"/>
          <w:sz w:val="20"/>
        </w:rPr>
        <w:t>NerdWallet” is a trademark of NerdWallet, Inc. All rights reserved. Other names and trademarks used herein may be trademarks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361950" cy="37147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361950" cy="371475"/>
                    </a:xfrm>
                    <a:prstGeom prst="rect">
                      <a:avLst/>
                    </a:prstGeom>
                  </pic:spPr>
                </pic:pic>
              </a:graphicData>
            </a:graphic>
          </wp:inline>
        </w:drawing>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8"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205"/>
        <w:gridCol w:w="1495"/>
        <w:gridCol w:w="1502"/>
        <w:gridCol w:w="109"/>
        <w:gridCol w:w="109"/>
        <w:gridCol w:w="109"/>
        <w:gridCol w:w="109"/>
        <w:gridCol w:w="109"/>
        <w:gridCol w:w="109"/>
        <w:gridCol w:w="109"/>
        <w:gridCol w:w="128"/>
        <w:gridCol w:w="466"/>
        <w:gridCol w:w="248"/>
        <w:gridCol w:w="742"/>
        <w:gridCol w:w="128"/>
        <w:gridCol w:w="155"/>
        <w:gridCol w:w="155"/>
        <w:gridCol w:w="156"/>
        <w:gridCol w:w="211"/>
        <w:gridCol w:w="631"/>
        <w:gridCol w:w="109"/>
        <w:gridCol w:w="109"/>
        <w:gridCol w:w="109"/>
        <w:gridCol w:w="109"/>
        <w:gridCol w:w="210"/>
        <w:gridCol w:w="211"/>
        <w:gridCol w:w="363"/>
      </w:tblGrid>
      <w:tr>
        <w:trPr/>
        <w:tc>
          <w:tcPr>
            <w:tcW w:w="2205"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5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111" w:type="dxa"/>
            <w:gridSpan w:val="6"/>
            <w:tcBorders/>
          </w:tcPr>
          <w:p>
            <w:pPr>
              <w:pStyle w:val="TableContents"/>
              <w:bidi w:val="0"/>
              <w:spacing w:before="0" w:after="283"/>
              <w:jc w:val="left"/>
              <w:rPr>
                <w:sz w:val="4"/>
                <w:szCs w:val="4"/>
              </w:rPr>
            </w:pPr>
            <w:r>
              <w:rPr>
                <w:sz w:val="4"/>
                <w:szCs w:val="4"/>
              </w:rPr>
            </w:r>
          </w:p>
        </w:tc>
      </w:tr>
      <w:tr>
        <w:trPr/>
        <w:tc>
          <w:tcPr>
            <w:tcW w:w="5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Pr>
          <w:p>
            <w:pPr>
              <w:pStyle w:val="TableContents"/>
              <w:bidi w:val="0"/>
              <w:spacing w:before="0" w:after="283"/>
              <w:jc w:val="left"/>
              <w:rPr>
                <w:sz w:val="4"/>
                <w:szCs w:val="4"/>
              </w:rPr>
            </w:pPr>
            <w:r>
              <w:rPr>
                <w:sz w:val="4"/>
                <w:szCs w:val="4"/>
              </w:rPr>
            </w:r>
          </w:p>
        </w:tc>
      </w:tr>
      <w:tr>
        <w:trPr/>
        <w:tc>
          <w:tcPr>
            <w:tcW w:w="52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222.2</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5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NM</w:t>
            </w:r>
          </w:p>
        </w:tc>
      </w:tr>
      <w:tr>
        <w:trPr/>
        <w:tc>
          <w:tcPr>
            <w:tcW w:w="52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2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NM</w:t>
            </w:r>
          </w:p>
        </w:tc>
      </w:tr>
      <w:tr>
        <w:trPr/>
        <w:tc>
          <w:tcPr>
            <w:tcW w:w="5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Shares Used in Computing Net Income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361950" cy="37147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361950" cy="371475"/>
                    </a:xfrm>
                    <a:prstGeom prst="rect">
                      <a:avLst/>
                    </a:prstGeom>
                  </pic:spPr>
                </pic:pic>
              </a:graphicData>
            </a:graphic>
          </wp:inline>
        </w:drawing>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0"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tbl>
      <w:tblPr>
        <w:tblW w:w="6571" w:type="dxa"/>
        <w:jc w:val="center"/>
        <w:tblInd w:w="0" w:type="dxa"/>
        <w:tblLayout w:type="fixed"/>
        <w:tblCellMar>
          <w:top w:w="28" w:type="dxa"/>
          <w:left w:w="28" w:type="dxa"/>
          <w:bottom w:w="28" w:type="dxa"/>
          <w:right w:w="28" w:type="dxa"/>
        </w:tblCellMar>
      </w:tblPr>
      <w:tblGrid>
        <w:gridCol w:w="1384"/>
        <w:gridCol w:w="1213"/>
        <w:gridCol w:w="1228"/>
        <w:gridCol w:w="109"/>
        <w:gridCol w:w="109"/>
        <w:gridCol w:w="109"/>
        <w:gridCol w:w="211"/>
        <w:gridCol w:w="631"/>
        <w:gridCol w:w="109"/>
        <w:gridCol w:w="109"/>
        <w:gridCol w:w="109"/>
        <w:gridCol w:w="109"/>
        <w:gridCol w:w="241"/>
        <w:gridCol w:w="722"/>
        <w:gridCol w:w="178"/>
      </w:tblGrid>
      <w:tr>
        <w:trPr/>
        <w:tc>
          <w:tcPr>
            <w:tcW w:w="1384"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asset—noncurrent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461.1</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432.0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461.1</w:t>
            </w: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361950" cy="371475"/>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361950" cy="371475"/>
                    </a:xfrm>
                    <a:prstGeom prst="rect">
                      <a:avLst/>
                    </a:prstGeom>
                  </pic:spPr>
                </pic:pic>
              </a:graphicData>
            </a:graphic>
          </wp:inline>
        </w:drawing>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2"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tbl>
      <w:tblPr>
        <w:tblW w:w="9081" w:type="dxa"/>
        <w:jc w:val="center"/>
        <w:tblInd w:w="0" w:type="dxa"/>
        <w:tblLayout w:type="fixed"/>
        <w:tblCellMar>
          <w:top w:w="28" w:type="dxa"/>
          <w:left w:w="28" w:type="dxa"/>
          <w:bottom w:w="28" w:type="dxa"/>
          <w:right w:w="28" w:type="dxa"/>
        </w:tblCellMar>
      </w:tblPr>
      <w:tblGrid>
        <w:gridCol w:w="2428"/>
        <w:gridCol w:w="2130"/>
        <w:gridCol w:w="2162"/>
        <w:gridCol w:w="109"/>
        <w:gridCol w:w="109"/>
        <w:gridCol w:w="109"/>
        <w:gridCol w:w="211"/>
        <w:gridCol w:w="511"/>
        <w:gridCol w:w="109"/>
        <w:gridCol w:w="109"/>
        <w:gridCol w:w="109"/>
        <w:gridCol w:w="109"/>
        <w:gridCol w:w="211"/>
        <w:gridCol w:w="511"/>
        <w:gridCol w:w="154"/>
      </w:tblGrid>
      <w:tr>
        <w:trPr/>
        <w:tc>
          <w:tcPr>
            <w:tcW w:w="2428"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business combination: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Mortgage 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 of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Liquidation of certificate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Business combination,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borrowing on warehouse line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exercises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payments related to net-share settlements on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Repurchases of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361950" cy="371475"/>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361950" cy="371475"/>
                    </a:xfrm>
                    <a:prstGeom prst="rect">
                      <a:avLst/>
                    </a:prstGeom>
                  </pic:spPr>
                </pic:pic>
              </a:graphicData>
            </a:graphic>
          </wp:inline>
        </w:drawing>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use non-GAAP operating income (loss), adjusted EBITDA and adjusted free cash flow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 </w:t>
      </w:r>
    </w:p>
    <w:p>
      <w:pPr>
        <w:pStyle w:val="TextBody"/>
        <w:bidi w:val="0"/>
        <w:spacing w:lineRule="auto" w:line="288" w:before="0" w:after="120"/>
        <w:ind w:left="0" w:right="0" w:firstLine="360"/>
        <w:jc w:val="both"/>
        <w:rPr/>
      </w:pPr>
      <w:r>
        <w:rPr>
          <w:rFonts w:ascii="Times New Roman;serif" w:hAnsi="Times New Roman;serif"/>
          <w:b/>
          <w:i/>
          <w:color w:val="000000"/>
          <w:sz w:val="20"/>
        </w:rPr>
        <w:t>Non-GAAP operating income (loss):</w:t>
      </w:r>
      <w:r>
        <w:rPr>
          <w:color w:val="000000"/>
        </w:rPr>
        <w:t xml:space="preserve"> </w:t>
      </w:r>
      <w:r>
        <w:rPr>
          <w:rFonts w:ascii="Times New Roman;serif" w:hAnsi="Times New Roman;serif"/>
          <w:b w:val="false"/>
          <w:color w:val="000000"/>
          <w:sz w:val="20"/>
        </w:rPr>
        <w:t>We define non-GAAP operating income (loss) as income (loss) from operations adjusted to exclude depreciation and amortization, and further exclude (1) impairment of right-of-use asset, (2) losses (gains) on disposals of assets, (3) acquisition-related costs, and (4) restructuring charges. We also reduce income from operations, or increase loss from operations, for capitalized internally developed software costs.</w:t>
      </w:r>
    </w:p>
    <w:p>
      <w:pPr>
        <w:pStyle w:val="TextBody"/>
        <w:bidi w:val="0"/>
        <w:spacing w:lineRule="auto" w:line="288" w:before="0" w:after="120"/>
        <w:ind w:left="0" w:right="0" w:firstLine="360"/>
        <w:jc w:val="both"/>
        <w:rPr/>
      </w:pPr>
      <w:r>
        <w:rPr>
          <w:rFonts w:ascii="Times New Roman;serif" w:hAnsi="Times New Roman;serif"/>
          <w:b/>
          <w:i/>
          <w:color w:val="000000"/>
          <w:sz w:val="20"/>
        </w:rPr>
        <w:t xml:space="preserve">Adjusted EBITDA: </w:t>
      </w:r>
      <w:r>
        <w:rPr>
          <w:rFonts w:ascii="Times New Roman;serif" w:hAnsi="Times New Roman;serif"/>
          <w:b w:val="false"/>
          <w:color w:val="000000"/>
          <w:sz w:val="20"/>
        </w:rPr>
        <w:t>We define adjusted EBITDA as net income (loss) from continuing operations adjusted to exclude depreciation and amortization, interest income (expense), net, other gains (losses), net, and provision (benefit) for income taxes, and further exclude (1) impairment of right-of-use asset, (2) losses (gains) on disposals of assets, (3) stock-based compensation, (4) acquisition-related costs, and (5) restructuring charges.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above items are excluded from our non-GAAP operating income (loss) and adjusted EBITDA measures because these items are non-cash in nature, or because the amounts are not driven by core operating results and renders comparisons with prior periods less meaningful. We deduct capitalized internally developed software costs in our non-GAAP operating income (loss) measure to reflect the cash impact of personnel costs incurred within the time period.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non-GAAP operating income (loss) and adjusted EBITDA provide useful information to investors and others in understanding and evaluating our operating results and in comparing operating results across periods. Moreover, non-GAAP operating income (loss) and adjusted EBITDA are key measurements used by our management internally to make operating decisions, including those related to analyzing operating expenses, evaluating performance, and performing strategic planning and annual budgeting. However, the use of these non-GAAP measures have certain limitations because they do not reflect all items of income and expense that affect our operations. Non-GAAP operating income (loss) and adjusted EBITDA have limitations as financial measures, should be considered as supplemental in nature, and are not meant as substitutes for the related financial information prepared in accordance with GAAP. These limitations include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Non-GAAP operating income (loss) and adjusted EBITDA exclude certain recurring, non-cash charges, such as amortization of software, depreciation of property and equipment, amortization of intangible assets, impairment of right-of-use asset, and (losses) gains on disposals of assets. Although these are non-cash charges, the assets being depreciated and amortized may have to be replaced in the future, and non-GAAP operating income (loss) and adjusted EBITDA do not reflect all cash requirements for such replacements or for new capital expenditure requirements;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Non-GAAP operating income (loss) and adjusted EBITDA exclude certain acquisition-related costs, including acquisition-related retention compensation under compensatory retention agreements with certain key employees, and acquisition-related transaction expenses;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Non-GAAP operating income (loss) and adjusted EBITDA exclude restructuring charges primarily consisting of severance payments, stock-based compensation, employee benefits, and related expenses for impacted employees, as well as contract termination costs, associated with our Restructuring Plan;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Adjusted EBITDA excludes stock-based compensation, including for acquisition-related inducement awards, which has been, and will continue to be for the foreseeable future, a significant recurring expense in our business and an important part of our compensation strategy;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Adjusted EBITDA does not reflect interest income (expense) and other gains (losses), net, which include unrealized and realized gains and losses on foreign currency exchange, as well as certain nonrecurring gains (losses).</w:t>
      </w:r>
    </w:p>
    <w:p>
      <w:pPr>
        <w:pStyle w:val="TextBody"/>
        <w:bidi w:val="0"/>
        <w:spacing w:before="0" w:after="0"/>
        <w:jc w:val="right"/>
        <w:rPr/>
      </w:pPr>
      <w:r>
        <w:rPr/>
        <w:drawing>
          <wp:inline distT="0" distB="0" distL="0" distR="0">
            <wp:extent cx="361950" cy="371475"/>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361950" cy="371475"/>
                    </a:xfrm>
                    <a:prstGeom prst="rect">
                      <a:avLst/>
                    </a:prstGeom>
                  </pic:spPr>
                </pic:pic>
              </a:graphicData>
            </a:graphic>
          </wp:inline>
        </w:drawing>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20"/>
        <w:ind w:left="0" w:right="0" w:firstLine="360"/>
        <w:jc w:val="both"/>
        <w:rPr/>
      </w:pPr>
      <w:r>
        <w:rPr>
          <w:rFonts w:ascii="Times New Roman;serif" w:hAnsi="Times New Roman;serif"/>
          <w:b/>
          <w:i/>
          <w:color w:val="000000"/>
          <w:sz w:val="20"/>
        </w:rPr>
        <w:t xml:space="preserve">Adjusted free cash flow: </w:t>
      </w:r>
      <w:r>
        <w:rPr>
          <w:rFonts w:ascii="Times New Roman;serif" w:hAnsi="Times New Roman;serif"/>
          <w:b w:val="false"/>
          <w:color w:val="000000"/>
          <w:sz w:val="20"/>
        </w:rPr>
        <w:t xml:space="preserve">We define free cash flow as net cash provided by operating activities less capitalized software development costs and purchases of property and equipment, adjusted for any net borrowing or repayment on our warehouse line of credit. Our warehouse line of credit is used to fund mortgage loans originated for sale, as any increase or decrease in our mortgage loans held for sale is substantially offset by a corresponding borrowing or repayment on our warehouse line of credit. Adjusted free cash flow is a key measurement used by our management internally to evaluate our business performance and overall liquidity. We believe that adjusted free cash flow provides useful information for investors and others for determining the amount of cash available for investment in our business, strategic opportunities, repurchasing stock, strengthening our financial position and other purposes, as well as evaluating our historical and prospective liquidity. A limitation of the utility of adjusted free cash flow as a measure of financial performance and liquidity is that adjusted free cash flow does not represent the total increase or decrease in our cash balance for the period.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non-GAAP operating income (loss), adjusted EBITDA and adjusted free cash flow as we define them may not be comparable to similarly titled measures used by other companies. Because of these limitations, you should consider non-GAAP operating income (loss), adjusted EBITDA and adjusted free cash flow alongside other financial performance measures, including income (loss) from operations, net income (loss), cash flows from operating activities and our other GAAP results.</w:t>
      </w:r>
    </w:p>
    <w:p>
      <w:pPr>
        <w:pStyle w:val="TextBody"/>
        <w:bidi w:val="0"/>
        <w:spacing w:before="0" w:after="0"/>
        <w:jc w:val="right"/>
        <w:rPr/>
      </w:pPr>
      <w:r>
        <w:rPr/>
        <w:drawing>
          <wp:inline distT="0" distB="0" distL="0" distR="0">
            <wp:extent cx="361950" cy="371475"/>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361950" cy="371475"/>
                    </a:xfrm>
                    <a:prstGeom prst="rect">
                      <a:avLst/>
                    </a:prstGeom>
                  </pic:spPr>
                </pic:pic>
              </a:graphicData>
            </a:graphic>
          </wp:inline>
        </w:drawing>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compensate for these limitations by reconciling non-GAAP operating income to income from operations, adjusted EBITDA to net income and adjusted free cash flow to net cash provided by operating activities, the most directly comparable GAAP financial measures, as follows:</w:t>
      </w:r>
    </w:p>
    <w:tbl>
      <w:tblPr>
        <w:tblW w:w="9322" w:type="dxa"/>
        <w:jc w:val="left"/>
        <w:tblInd w:w="0" w:type="dxa"/>
        <w:tblLayout w:type="fixed"/>
        <w:tblCellMar>
          <w:top w:w="28" w:type="dxa"/>
          <w:left w:w="28" w:type="dxa"/>
          <w:bottom w:w="28" w:type="dxa"/>
          <w:right w:w="28" w:type="dxa"/>
        </w:tblCellMar>
      </w:tblPr>
      <w:tblGrid>
        <w:gridCol w:w="1435"/>
        <w:gridCol w:w="1260"/>
        <w:gridCol w:w="1279"/>
        <w:gridCol w:w="109"/>
        <w:gridCol w:w="109"/>
        <w:gridCol w:w="109"/>
        <w:gridCol w:w="109"/>
        <w:gridCol w:w="109"/>
        <w:gridCol w:w="109"/>
        <w:gridCol w:w="109"/>
        <w:gridCol w:w="142"/>
        <w:gridCol w:w="466"/>
        <w:gridCol w:w="276"/>
        <w:gridCol w:w="689"/>
        <w:gridCol w:w="354"/>
        <w:gridCol w:w="155"/>
        <w:gridCol w:w="155"/>
        <w:gridCol w:w="156"/>
        <w:gridCol w:w="211"/>
        <w:gridCol w:w="526"/>
        <w:gridCol w:w="271"/>
        <w:gridCol w:w="109"/>
        <w:gridCol w:w="109"/>
        <w:gridCol w:w="109"/>
        <w:gridCol w:w="240"/>
        <w:gridCol w:w="241"/>
        <w:gridCol w:w="376"/>
      </w:tblGrid>
      <w:tr>
        <w:trPr/>
        <w:tc>
          <w:tcPr>
            <w:tcW w:w="143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184" w:type="dxa"/>
            <w:gridSpan w:val="6"/>
            <w:tcBorders/>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w:t>
            </w:r>
            <w:r>
              <w:rPr>
                <w:color w:val="000000"/>
              </w:rPr>
              <w:t>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NM</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retention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internally developed software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33.7</w:t>
            </w:r>
            <w:r>
              <w:rPr>
                <w:color w:val="000000"/>
              </w:rPr>
              <w:t>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262</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Non-GAAP operating income margin</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w:t>
            </w:r>
            <w:r>
              <w:rPr>
                <w:color w:val="000000"/>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NM</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retention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45.2</w:t>
            </w:r>
            <w:r>
              <w:rPr>
                <w:color w:val="000000"/>
              </w:rPr>
              <w:t>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114</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internally developed software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33.7</w:t>
            </w:r>
            <w:r>
              <w:rPr>
                <w:color w:val="000000"/>
              </w:rPr>
              <w:t> </w:t>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262</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 margin</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    Represents non-GAAP operating income as a percentage of revenue.</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    Represents adjusted EBITDA as a percentage of revenue.</w:t>
      </w:r>
    </w:p>
    <w:tbl>
      <w:tblPr>
        <w:tblW w:w="9794" w:type="dxa"/>
        <w:jc w:val="left"/>
        <w:tblInd w:w="0" w:type="dxa"/>
        <w:tblLayout w:type="fixed"/>
        <w:tblCellMar>
          <w:top w:w="28" w:type="dxa"/>
          <w:left w:w="28" w:type="dxa"/>
          <w:bottom w:w="28" w:type="dxa"/>
          <w:right w:w="28" w:type="dxa"/>
        </w:tblCellMar>
      </w:tblPr>
      <w:tblGrid>
        <w:gridCol w:w="1290"/>
        <w:gridCol w:w="1134"/>
        <w:gridCol w:w="1145"/>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526"/>
        <w:gridCol w:w="109"/>
        <w:gridCol w:w="109"/>
        <w:gridCol w:w="109"/>
        <w:gridCol w:w="109"/>
        <w:gridCol w:w="211"/>
        <w:gridCol w:w="526"/>
        <w:gridCol w:w="154"/>
      </w:tblGrid>
      <w:tr>
        <w:trPr/>
        <w:tc>
          <w:tcPr>
            <w:tcW w:w="1290"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8"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Twelve Months Ended</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 31,</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 31,</w:t>
              <w:br/>
              <w:t>2025</w:t>
            </w:r>
          </w:p>
        </w:tc>
      </w:tr>
      <w:tr>
        <w:trPr/>
        <w:tc>
          <w:tcPr>
            <w:tcW w:w="3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borrowing on warehouse line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Adjusted 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361950" cy="371475"/>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361950" cy="371475"/>
                    </a:xfrm>
                    <a:prstGeom prst="rect">
                      <a:avLst/>
                    </a:prstGeom>
                  </pic:spPr>
                </pic:pic>
              </a:graphicData>
            </a:graphic>
          </wp:inline>
        </w:drawing>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FINANCIAL OUTLOOK</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providing guidance for the second quarter of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Revenue is expected in the range of $186-$202 million, up 4% year-over-year at the midpoint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GAAP operating income is expected in the range of $1-$9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Non-GAAP operating income is expected in the range of $6-$14 million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Adjusted EBITDA is expected in the range of $19-$27 million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adjusting our 2026 annual GAAP operating income expectation to the range of $65-$90 million and non-GAAP operating income to the range of $85-$110 million. We are also adjusting our 2026 annual adjusted EBITDA expectation to the range of $132-$157 million.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NerdWallet has not provided a quantitative reconciliation of forecasted GAAP net income (loss) to forecasted adjusted EBITDA within this communication because the Company is unable, without making unreasonable efforts, to calculate certain reconciling items with confidence. These items include, but are not limited to, income taxes which are directly impacted by unpredictable fluctuations in the market price of the Company’s capital stock. These items, which could materially affect the computation of forward-looking GAAP net income (loss), are inherently uncertain and depend on various factors, many of which are outside of NerdWallet’s control. </w:t>
      </w:r>
    </w:p>
    <w:p>
      <w:pPr>
        <w:pStyle w:val="TextBody"/>
        <w:bidi w:val="0"/>
        <w:spacing w:lineRule="auto" w:line="288" w:before="0" w:after="120"/>
        <w:ind w:left="0" w:right="0" w:firstLine="360"/>
        <w:jc w:val="both"/>
        <w:rPr/>
      </w:pPr>
      <w:r>
        <w:rPr>
          <w:rFonts w:ascii="Times New Roman;serif" w:hAnsi="Times New Roman;serif"/>
          <w:b w:val="false"/>
          <w:color w:val="000000"/>
          <w:sz w:val="20"/>
        </w:rPr>
        <w:t>A reconciliation of forecasted GAAP operating income to forecasted non-GAAP operating income for forecasted second quarter 2026 and forecasted full year 2026</w:t>
      </w:r>
      <w:r>
        <w:rPr>
          <w:color w:val="000000"/>
        </w:rPr>
        <w:t xml:space="preserve"> </w:t>
      </w:r>
      <w:r>
        <w:rPr>
          <w:rFonts w:ascii="Times New Roman;serif" w:hAnsi="Times New Roman;serif"/>
          <w:b w:val="false"/>
          <w:color w:val="000000"/>
          <w:sz w:val="20"/>
        </w:rPr>
        <w:t>is as follows:</w:t>
      </w:r>
    </w:p>
    <w:tbl>
      <w:tblPr>
        <w:tblW w:w="6923" w:type="dxa"/>
        <w:jc w:val="left"/>
        <w:tblInd w:w="0" w:type="dxa"/>
        <w:tblLayout w:type="fixed"/>
        <w:tblCellMar>
          <w:top w:w="28" w:type="dxa"/>
          <w:left w:w="28" w:type="dxa"/>
          <w:bottom w:w="28" w:type="dxa"/>
          <w:right w:w="28" w:type="dxa"/>
        </w:tblCellMar>
      </w:tblPr>
      <w:tblGrid>
        <w:gridCol w:w="1437"/>
        <w:gridCol w:w="1264"/>
        <w:gridCol w:w="1274"/>
        <w:gridCol w:w="109"/>
        <w:gridCol w:w="109"/>
        <w:gridCol w:w="109"/>
        <w:gridCol w:w="419"/>
        <w:gridCol w:w="419"/>
        <w:gridCol w:w="421"/>
        <w:gridCol w:w="109"/>
        <w:gridCol w:w="109"/>
        <w:gridCol w:w="109"/>
        <w:gridCol w:w="303"/>
        <w:gridCol w:w="303"/>
        <w:gridCol w:w="429"/>
      </w:tblGrid>
      <w:tr>
        <w:trPr/>
        <w:tc>
          <w:tcPr>
            <w:tcW w:w="1437"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Forecasted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Forecasted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Full Year</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GAAP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$1 -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$65 - $90</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Estimated adjustments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9 - 10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37 - 39</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0 - 1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1 - 3</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internally developed software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 -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 - (22)</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Non-GAAP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$6 -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$85 - $110</w:t>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more information regarding the non-GAAP financial measures discussed in this communication, please see “Non-GAAP Financial Measures”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about us and our industry that involve significant risks and uncertainties. Except for statements of historical facts, all statements contained in this press release are forward-looking, including, but not limited to, the statements in the section titled “Financial Outlook.” These statements often contain words such as “anticipate,” “believe,” “contemplate,” “continue,” “could,” “estimate,” “expect,” “forecast,” “intend,” “may,” “outlook,” “plan,” “potential,” “predict,” “project,” “should,” “target,” “will” or “would” or similar terms, including their negatives. These forward-looking statements include, but are not limited to, statements regarding: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of macroeconomic developments, including inflation, interest rates, credit market conditions and general economic uncertainty, on our business, operating results, financial condition and stock price;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expectations regarding future financial and operational performance, including total revenue, cost of revenue, non-GAAP operating income (loss), adjusted EBITDA, and adjusted free cash flow;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ability to grow traffic, engagement, and monetization on our platform;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expected returns on marketing investments and brand campaigns;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consumer and SMB demand for products and services offered through our platform;</w:t>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20"/>
        </w:rPr>
        <w:t>our ability to increase user registrations, improve repeat usage rates, and convert users into matches with financial services partners;</w:t>
      </w:r>
    </w:p>
    <w:p>
      <w:pPr>
        <w:pStyle w:val="TextBody"/>
        <w:bidi w:val="0"/>
        <w:spacing w:before="0" w:after="0"/>
        <w:jc w:val="right"/>
        <w:rPr/>
      </w:pPr>
      <w:r>
        <w:rPr/>
        <w:drawing>
          <wp:inline distT="0" distB="0" distL="0" distR="0">
            <wp:extent cx="361950" cy="371475"/>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361950" cy="371475"/>
                    </a:xfrm>
                    <a:prstGeom prst="rect">
                      <a:avLst/>
                    </a:prstGeom>
                  </pic:spPr>
                </pic:pic>
              </a:graphicData>
            </a:graphic>
          </wp:inline>
        </w:drawing>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expansion within existing and new verticals, including new products, services, and features that are competitive, compliant with applicable regulations, and responsive to market needs;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changing geographic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maintaining and expanding relationships with existing financial services partners and identifying new ones;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developing scalable technology and data capabilities to provide personalized guidance and enhance user engagement;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strengthening brand awareness, credibility, and consumer and SMB trust;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producing high quality, engaging consumer and SMB content and tools;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adapting to evolving consumer and SMB financial interests and behaviors;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competing effectively in existing and new markets;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maintaining the security, reliability, and availability of our platform;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protecting and enhancing our intellectual property portfolio;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attracting, developing, and retaining highly skilled and diverse talent;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complying with evolving laws, regulations, and supervisory expectations applicable to our business;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adequacy of our cash, cash equivalents, and investments to meet liquidity needs;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managing growth, scaling infrastructure, and preserving our corporate culture;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identifying, executing, and successfully integrating acquisitions;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entering new financial services markets, and meeting associated regulatory complexities;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achieving expected synergies, accretion, and other benefits from completed acquisitions.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are not guarantees of future performance and should not be relied upon as predictions of future events. They are based on our current expectations, estimates, and projections regarding future events and trends that may affect our business, financial condition and operating results. These expectations are subject to various risks, uncertainties, and assumptions, including those described in filings we make with the SEC from time to time.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industry is highly competitive and rapidly evolving, and new risks and uncertainties may arise that we cannot predict. As a result, actual results, events, or circumstances may differ materially from those reflected in our forward-looking statements.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Forward-looking statements in this press release speak only as of the date hereof. We undertake no obligation to update any such statements in this press release to reflect subsequent events, new information, or unexpected developments, except as required by law. These statements also do not reflect potential impacts from future acquisitions, mergers, dispositions, joint ventures, or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Investor Relations: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Robb Ferris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ir@nerdwallet.com</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Media Relations: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Maitri Jani</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press@nerdwallet.com</w:t>
      </w:r>
    </w:p>
    <w:p>
      <w:pPr>
        <w:pStyle w:val="TextBody"/>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3910</Words>
  <Characters>22477</Characters>
  <CharactersWithSpaces>25868</CharactersWithSpaces>
  <Paragraphs>758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